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0042" w14:textId="27788D6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4B218D52" w14:textId="1CA551E1"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It is legal to leave without care 1</w:t>
      </w:r>
      <w:r w:rsidR="005F1052">
        <w:rPr>
          <w:rFonts w:eastAsia="Calibri" w:cstheme="minorHAnsi"/>
          <w:kern w:val="0"/>
          <w:sz w:val="24"/>
          <w:szCs w:val="24"/>
          <w14:ligatures w14:val="none"/>
        </w:rPr>
        <w:t>5</w:t>
      </w:r>
      <w:r w:rsidRPr="00DC55A1">
        <w:rPr>
          <w:rFonts w:eastAsia="Calibri" w:cstheme="minorHAnsi"/>
          <w:kern w:val="0"/>
          <w:sz w:val="24"/>
          <w:szCs w:val="24"/>
          <w14:ligatures w14:val="none"/>
        </w:rPr>
        <w:t>00+ dogs, mostly puppies, mothers giving birth, runts that need special care etc. for 16 hours a day weekdays, 20 hours at weekends</w:t>
      </w:r>
      <w:r w:rsidR="0087780B" w:rsidRPr="00DC55A1">
        <w:rPr>
          <w:rFonts w:eastAsia="Calibri" w:cstheme="minorHAnsi"/>
          <w:kern w:val="0"/>
          <w:sz w:val="24"/>
          <w:szCs w:val="24"/>
          <w14:ligatures w14:val="none"/>
        </w:rPr>
        <w:t xml:space="preserve">. </w:t>
      </w:r>
      <w:r w:rsidR="004A515B" w:rsidRPr="00DC55A1">
        <w:rPr>
          <w:rFonts w:eastAsia="Calibri" w:cstheme="minorHAnsi"/>
          <w:kern w:val="0"/>
          <w:sz w:val="24"/>
          <w:szCs w:val="24"/>
          <w14:ligatures w14:val="none"/>
        </w:rPr>
        <w:t>Even if a</w:t>
      </w:r>
      <w:r w:rsidR="0087780B" w:rsidRPr="00DC55A1">
        <w:rPr>
          <w:rFonts w:eastAsia="Calibri" w:cstheme="minorHAnsi"/>
          <w:kern w:val="0"/>
          <w:sz w:val="24"/>
          <w:szCs w:val="24"/>
          <w14:ligatures w14:val="none"/>
        </w:rPr>
        <w:t xml:space="preserve"> v</w:t>
      </w:r>
      <w:r w:rsidR="00C57140" w:rsidRPr="00DC55A1">
        <w:rPr>
          <w:rFonts w:eastAsia="Calibri" w:cstheme="minorHAnsi"/>
          <w:kern w:val="0"/>
          <w:sz w:val="24"/>
          <w:szCs w:val="24"/>
          <w14:ligatures w14:val="none"/>
        </w:rPr>
        <w:t>e</w:t>
      </w:r>
      <w:r w:rsidR="0087780B" w:rsidRPr="00DC55A1">
        <w:rPr>
          <w:rFonts w:eastAsia="Calibri" w:cstheme="minorHAnsi"/>
          <w:kern w:val="0"/>
          <w:sz w:val="24"/>
          <w:szCs w:val="24"/>
          <w14:ligatures w14:val="none"/>
        </w:rPr>
        <w:t>t on call 24/7 there is no-one to call them</w:t>
      </w:r>
      <w:r w:rsidR="005419C8" w:rsidRPr="00DC55A1">
        <w:rPr>
          <w:rFonts w:eastAsia="Calibri" w:cstheme="minorHAnsi"/>
          <w:kern w:val="0"/>
          <w:sz w:val="24"/>
          <w:szCs w:val="24"/>
          <w14:ligatures w14:val="none"/>
        </w:rPr>
        <w:t>.</w:t>
      </w:r>
    </w:p>
    <w:p w14:paraId="601E1A4E"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613761B9" w14:textId="59D1929A"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The Home Office</w:t>
      </w:r>
      <w:r w:rsidR="00CF0D30" w:rsidRPr="00DC55A1">
        <w:rPr>
          <w:rFonts w:eastAsia="Calibri" w:cstheme="minorHAnsi"/>
          <w:kern w:val="0"/>
          <w:sz w:val="24"/>
          <w:szCs w:val="24"/>
          <w14:ligatures w14:val="none"/>
        </w:rPr>
        <w:t xml:space="preserve">, specifically the Animals in Science Regulatory Unit (ASRU), </w:t>
      </w:r>
      <w:r w:rsidRPr="00DC55A1">
        <w:rPr>
          <w:rFonts w:eastAsia="Calibri" w:cstheme="minorHAnsi"/>
          <w:kern w:val="0"/>
          <w:sz w:val="24"/>
          <w:szCs w:val="24"/>
          <w14:ligatures w14:val="none"/>
        </w:rPr>
        <w:t xml:space="preserve">renewed </w:t>
      </w:r>
      <w:r w:rsidR="005419C8" w:rsidRPr="00DC55A1">
        <w:rPr>
          <w:rFonts w:eastAsia="Calibri" w:cstheme="minorHAnsi"/>
          <w:kern w:val="0"/>
          <w:sz w:val="24"/>
          <w:szCs w:val="24"/>
          <w14:ligatures w14:val="none"/>
        </w:rPr>
        <w:t>in October 23</w:t>
      </w:r>
      <w:r w:rsidR="004A515B" w:rsidRPr="00DC55A1">
        <w:rPr>
          <w:rFonts w:eastAsia="Calibri" w:cstheme="minorHAnsi"/>
          <w:kern w:val="0"/>
          <w:sz w:val="24"/>
          <w:szCs w:val="24"/>
          <w14:ligatures w14:val="none"/>
        </w:rPr>
        <w:t>,</w:t>
      </w:r>
      <w:r w:rsidR="005419C8" w:rsidRPr="00DC55A1">
        <w:rPr>
          <w:rFonts w:eastAsia="Calibri" w:cstheme="minorHAnsi"/>
          <w:kern w:val="0"/>
          <w:sz w:val="24"/>
          <w:szCs w:val="24"/>
          <w14:ligatures w14:val="none"/>
        </w:rPr>
        <w:t xml:space="preserve"> </w:t>
      </w:r>
      <w:r w:rsidRPr="00DC55A1">
        <w:rPr>
          <w:rFonts w:eastAsia="Calibri" w:cstheme="minorHAnsi"/>
          <w:kern w:val="0"/>
          <w:sz w:val="24"/>
          <w:szCs w:val="24"/>
          <w14:ligatures w14:val="none"/>
        </w:rPr>
        <w:t>for another 5 years</w:t>
      </w:r>
      <w:r w:rsidR="004A515B" w:rsidRPr="00DC55A1">
        <w:rPr>
          <w:rFonts w:eastAsia="Calibri" w:cstheme="minorHAnsi"/>
          <w:kern w:val="0"/>
          <w:sz w:val="24"/>
          <w:szCs w:val="24"/>
          <w14:ligatures w14:val="none"/>
        </w:rPr>
        <w:t>,</w:t>
      </w:r>
      <w:r w:rsidRPr="00DC55A1">
        <w:rPr>
          <w:rFonts w:eastAsia="Calibri" w:cstheme="minorHAnsi"/>
          <w:kern w:val="0"/>
          <w:sz w:val="24"/>
          <w:szCs w:val="24"/>
          <w14:ligatures w14:val="none"/>
        </w:rPr>
        <w:t xml:space="preserve"> the </w:t>
      </w:r>
      <w:r w:rsidR="00CF0D30" w:rsidRPr="00DC55A1">
        <w:rPr>
          <w:rFonts w:eastAsia="Calibri" w:cstheme="minorHAnsi"/>
          <w:kern w:val="0"/>
          <w:sz w:val="24"/>
          <w:szCs w:val="24"/>
          <w14:ligatures w14:val="none"/>
        </w:rPr>
        <w:t xml:space="preserve">Marshall BioResources (MBR) </w:t>
      </w:r>
      <w:r w:rsidRPr="00DC55A1">
        <w:rPr>
          <w:rFonts w:eastAsia="Calibri" w:cstheme="minorHAnsi"/>
          <w:kern w:val="0"/>
          <w:sz w:val="24"/>
          <w:szCs w:val="24"/>
          <w14:ligatures w14:val="none"/>
        </w:rPr>
        <w:t>bleeding licence so that ex breeding bitches/studs, grade B pups etc can be legally bled out (by cardiac puncture under terminal anaesthesia) so their blood and organs can be sold</w:t>
      </w:r>
      <w:r w:rsidR="005419C8" w:rsidRPr="00DC55A1">
        <w:rPr>
          <w:rFonts w:eastAsia="Calibri" w:cstheme="minorHAnsi"/>
          <w:kern w:val="0"/>
          <w:sz w:val="24"/>
          <w:szCs w:val="24"/>
          <w14:ligatures w14:val="none"/>
        </w:rPr>
        <w:t>.</w:t>
      </w:r>
    </w:p>
    <w:p w14:paraId="3A65305D"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24ACD55E" w14:textId="59D3E5D1"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It is proven that dogs have the sentience of a </w:t>
      </w:r>
      <w:r w:rsidR="00DC55A1" w:rsidRPr="00DC55A1">
        <w:rPr>
          <w:rFonts w:eastAsia="Calibri" w:cstheme="minorHAnsi"/>
          <w:kern w:val="0"/>
          <w:sz w:val="24"/>
          <w:szCs w:val="24"/>
          <w14:ligatures w14:val="none"/>
        </w:rPr>
        <w:t>3-year-old</w:t>
      </w:r>
      <w:r w:rsidRPr="00DC55A1">
        <w:rPr>
          <w:rFonts w:eastAsia="Calibri" w:cstheme="minorHAnsi"/>
          <w:kern w:val="0"/>
          <w:sz w:val="24"/>
          <w:szCs w:val="24"/>
          <w14:ligatures w14:val="none"/>
        </w:rPr>
        <w:t xml:space="preserve"> child, yet the MBR beagles are literally bred to be dead. They suffer from birth to death and the data gathered from their short lives is of no or insignificant value. How can this be justified?</w:t>
      </w:r>
    </w:p>
    <w:p w14:paraId="7D7E451B"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158244DA" w14:textId="0694C0CA"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There is NO mandate in UK Law to use animals. Infact ASPA 1986 says animals can only be used if no scientifically satisfactory alternative. Throughout the project application </w:t>
      </w:r>
      <w:r w:rsidR="005419C8" w:rsidRPr="00DC55A1">
        <w:rPr>
          <w:rFonts w:eastAsia="Calibri" w:cstheme="minorHAnsi"/>
          <w:kern w:val="0"/>
          <w:sz w:val="24"/>
          <w:szCs w:val="24"/>
          <w14:ligatures w14:val="none"/>
        </w:rPr>
        <w:t xml:space="preserve">process </w:t>
      </w:r>
      <w:r w:rsidRPr="00DC55A1">
        <w:rPr>
          <w:rFonts w:eastAsia="Calibri" w:cstheme="minorHAnsi"/>
          <w:kern w:val="0"/>
          <w:sz w:val="24"/>
          <w:szCs w:val="24"/>
          <w14:ligatures w14:val="none"/>
        </w:rPr>
        <w:t xml:space="preserve">not once are </w:t>
      </w:r>
      <w:r w:rsidR="004A515B" w:rsidRPr="00DC55A1">
        <w:rPr>
          <w:rFonts w:eastAsia="Calibri" w:cstheme="minorHAnsi"/>
          <w:kern w:val="0"/>
          <w:sz w:val="24"/>
          <w:szCs w:val="24"/>
          <w14:ligatures w14:val="none"/>
        </w:rPr>
        <w:t>Non</w:t>
      </w:r>
      <w:r w:rsidR="00DC55A1">
        <w:rPr>
          <w:rFonts w:eastAsia="Calibri" w:cstheme="minorHAnsi"/>
          <w:kern w:val="0"/>
          <w:sz w:val="24"/>
          <w:szCs w:val="24"/>
          <w14:ligatures w14:val="none"/>
        </w:rPr>
        <w:t>-</w:t>
      </w:r>
      <w:r w:rsidR="004A515B" w:rsidRPr="00DC55A1">
        <w:rPr>
          <w:rFonts w:eastAsia="Calibri" w:cstheme="minorHAnsi"/>
          <w:kern w:val="0"/>
          <w:sz w:val="24"/>
          <w:szCs w:val="24"/>
          <w14:ligatures w14:val="none"/>
        </w:rPr>
        <w:t>Animal Methods (</w:t>
      </w:r>
      <w:r w:rsidRPr="00DC55A1">
        <w:rPr>
          <w:rFonts w:eastAsia="Calibri" w:cstheme="minorHAnsi"/>
          <w:kern w:val="0"/>
          <w:sz w:val="24"/>
          <w:szCs w:val="24"/>
          <w14:ligatures w14:val="none"/>
        </w:rPr>
        <w:t>NAMs</w:t>
      </w:r>
      <w:r w:rsidR="004A515B" w:rsidRPr="00DC55A1">
        <w:rPr>
          <w:rFonts w:eastAsia="Calibri" w:cstheme="minorHAnsi"/>
          <w:kern w:val="0"/>
          <w:sz w:val="24"/>
          <w:szCs w:val="24"/>
          <w14:ligatures w14:val="none"/>
        </w:rPr>
        <w:t>)</w:t>
      </w:r>
      <w:r w:rsidRPr="00DC55A1">
        <w:rPr>
          <w:rFonts w:eastAsia="Calibri" w:cstheme="minorHAnsi"/>
          <w:kern w:val="0"/>
          <w:sz w:val="24"/>
          <w:szCs w:val="24"/>
          <w14:ligatures w14:val="none"/>
        </w:rPr>
        <w:t xml:space="preserve"> considered. Animal use is </w:t>
      </w:r>
      <w:r w:rsidR="00CF0D30" w:rsidRPr="00DC55A1">
        <w:rPr>
          <w:rFonts w:eastAsia="Calibri" w:cstheme="minorHAnsi"/>
          <w:kern w:val="0"/>
          <w:sz w:val="24"/>
          <w:szCs w:val="24"/>
          <w14:ligatures w14:val="none"/>
        </w:rPr>
        <w:t xml:space="preserve">thus </w:t>
      </w:r>
      <w:r w:rsidRPr="00DC55A1">
        <w:rPr>
          <w:rFonts w:eastAsia="Calibri" w:cstheme="minorHAnsi"/>
          <w:kern w:val="0"/>
          <w:sz w:val="24"/>
          <w:szCs w:val="24"/>
          <w14:ligatures w14:val="none"/>
        </w:rPr>
        <w:t xml:space="preserve">decided at the outset. </w:t>
      </w:r>
    </w:p>
    <w:p w14:paraId="51B00E29"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41982088" w14:textId="467D6C72" w:rsidR="00A5762C" w:rsidRPr="00DC55A1" w:rsidRDefault="005F1052" w:rsidP="00DC55A1">
      <w:pPr>
        <w:numPr>
          <w:ilvl w:val="0"/>
          <w:numId w:val="1"/>
        </w:numPr>
        <w:spacing w:after="0" w:line="256" w:lineRule="auto"/>
        <w:contextualSpacing/>
        <w:jc w:val="both"/>
        <w:rPr>
          <w:rFonts w:eastAsia="Calibri" w:cstheme="minorHAnsi"/>
          <w:kern w:val="0"/>
          <w:sz w:val="24"/>
          <w:szCs w:val="24"/>
          <w14:ligatures w14:val="none"/>
        </w:rPr>
      </w:pPr>
      <w:r>
        <w:rPr>
          <w:rFonts w:eastAsia="Calibri" w:cstheme="minorHAnsi"/>
          <w:kern w:val="0"/>
          <w:sz w:val="24"/>
          <w:szCs w:val="24"/>
          <w14:ligatures w14:val="none"/>
        </w:rPr>
        <w:t>Fro</w:t>
      </w:r>
      <w:r w:rsidR="001D70A1">
        <w:rPr>
          <w:rFonts w:eastAsia="Calibri" w:cstheme="minorHAnsi"/>
          <w:kern w:val="0"/>
          <w:sz w:val="24"/>
          <w:szCs w:val="24"/>
          <w14:ligatures w14:val="none"/>
        </w:rPr>
        <w:t>m</w:t>
      </w:r>
      <w:r>
        <w:rPr>
          <w:rFonts w:eastAsia="Calibri" w:cstheme="minorHAnsi"/>
          <w:kern w:val="0"/>
          <w:sz w:val="24"/>
          <w:szCs w:val="24"/>
          <w14:ligatures w14:val="none"/>
        </w:rPr>
        <w:t xml:space="preserve"> 2011 - 202</w:t>
      </w:r>
      <w:r w:rsidR="001D70A1">
        <w:rPr>
          <w:rFonts w:eastAsia="Calibri" w:cstheme="minorHAnsi"/>
          <w:kern w:val="0"/>
          <w:sz w:val="24"/>
          <w:szCs w:val="24"/>
          <w14:ligatures w14:val="none"/>
        </w:rPr>
        <w:t>4</w:t>
      </w:r>
      <w:r w:rsidR="004F5903" w:rsidRPr="00DC55A1">
        <w:rPr>
          <w:rFonts w:eastAsia="Calibri" w:cstheme="minorHAnsi"/>
          <w:kern w:val="0"/>
          <w:sz w:val="24"/>
          <w:szCs w:val="24"/>
          <w14:ligatures w14:val="none"/>
        </w:rPr>
        <w:t xml:space="preserve"> </w:t>
      </w:r>
      <w:r w:rsidR="00A5762C" w:rsidRPr="00DC55A1">
        <w:rPr>
          <w:rFonts w:eastAsia="Calibri" w:cstheme="minorHAnsi"/>
          <w:kern w:val="0"/>
          <w:sz w:val="24"/>
          <w:szCs w:val="24"/>
          <w14:ligatures w14:val="none"/>
        </w:rPr>
        <w:t>the Home Office</w:t>
      </w:r>
      <w:r w:rsidR="004A515B" w:rsidRPr="00DC55A1">
        <w:rPr>
          <w:rFonts w:eastAsia="Calibri" w:cstheme="minorHAnsi"/>
          <w:kern w:val="0"/>
          <w:sz w:val="24"/>
          <w:szCs w:val="24"/>
          <w14:ligatures w14:val="none"/>
        </w:rPr>
        <w:t xml:space="preserve"> has</w:t>
      </w:r>
      <w:r w:rsidR="00A5762C" w:rsidRPr="00DC55A1">
        <w:rPr>
          <w:rFonts w:eastAsia="Calibri" w:cstheme="minorHAnsi"/>
          <w:kern w:val="0"/>
          <w:sz w:val="24"/>
          <w:szCs w:val="24"/>
          <w14:ligatures w14:val="none"/>
        </w:rPr>
        <w:t xml:space="preserve"> rejected just </w:t>
      </w:r>
      <w:r>
        <w:rPr>
          <w:rFonts w:eastAsia="Calibri" w:cstheme="minorHAnsi"/>
          <w:kern w:val="0"/>
          <w:sz w:val="24"/>
          <w:szCs w:val="24"/>
          <w14:ligatures w14:val="none"/>
        </w:rPr>
        <w:t>two</w:t>
      </w:r>
      <w:r w:rsidR="00A5762C" w:rsidRPr="00DC55A1">
        <w:rPr>
          <w:rFonts w:eastAsia="Calibri" w:cstheme="minorHAnsi"/>
          <w:kern w:val="0"/>
          <w:sz w:val="24"/>
          <w:szCs w:val="24"/>
          <w14:ligatures w14:val="none"/>
        </w:rPr>
        <w:t xml:space="preserve"> project </w:t>
      </w:r>
      <w:r w:rsidR="004F5903" w:rsidRPr="00DC55A1">
        <w:rPr>
          <w:rFonts w:eastAsia="Calibri" w:cstheme="minorHAnsi"/>
          <w:kern w:val="0"/>
          <w:sz w:val="24"/>
          <w:szCs w:val="24"/>
          <w14:ligatures w14:val="none"/>
        </w:rPr>
        <w:t xml:space="preserve">licence </w:t>
      </w:r>
      <w:r w:rsidR="00A5762C" w:rsidRPr="00DC55A1">
        <w:rPr>
          <w:rFonts w:eastAsia="Calibri" w:cstheme="minorHAnsi"/>
          <w:kern w:val="0"/>
          <w:sz w:val="24"/>
          <w:szCs w:val="24"/>
          <w14:ligatures w14:val="none"/>
        </w:rPr>
        <w:t>application</w:t>
      </w:r>
      <w:r>
        <w:rPr>
          <w:rFonts w:eastAsia="Calibri" w:cstheme="minorHAnsi"/>
          <w:kern w:val="0"/>
          <w:sz w:val="24"/>
          <w:szCs w:val="24"/>
          <w14:ligatures w14:val="none"/>
        </w:rPr>
        <w:t>s</w:t>
      </w:r>
      <w:r w:rsidR="00A5762C" w:rsidRPr="00DC55A1">
        <w:rPr>
          <w:rFonts w:eastAsia="Calibri" w:cstheme="minorHAnsi"/>
          <w:kern w:val="0"/>
          <w:sz w:val="24"/>
          <w:szCs w:val="24"/>
          <w14:ligatures w14:val="none"/>
        </w:rPr>
        <w:t>.</w:t>
      </w:r>
    </w:p>
    <w:p w14:paraId="1A7E8A4C"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0424EA3C" w14:textId="3347A2DE"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At human clinical trial stage, 92-96% of pharmaceuticals fail to progress due almost all to toxicity and efficacy reasons not identified in non-</w:t>
      </w:r>
      <w:r w:rsidR="009F53DF">
        <w:rPr>
          <w:rFonts w:eastAsia="Calibri" w:cstheme="minorHAnsi"/>
          <w:kern w:val="0"/>
          <w:sz w:val="24"/>
          <w:szCs w:val="24"/>
          <w14:ligatures w14:val="none"/>
        </w:rPr>
        <w:t>predictive</w:t>
      </w:r>
      <w:r w:rsidRPr="00DC55A1">
        <w:rPr>
          <w:rFonts w:eastAsia="Calibri" w:cstheme="minorHAnsi"/>
          <w:kern w:val="0"/>
          <w:sz w:val="24"/>
          <w:szCs w:val="24"/>
          <w14:ligatures w14:val="none"/>
        </w:rPr>
        <w:t xml:space="preserve"> animal models. </w:t>
      </w:r>
      <w:r w:rsidR="001B189D" w:rsidRPr="00DC55A1">
        <w:rPr>
          <w:rFonts w:cstheme="minorHAnsi"/>
          <w:sz w:val="24"/>
          <w:szCs w:val="24"/>
          <w:shd w:val="clear" w:color="auto" w:fill="FFFFFF"/>
        </w:rPr>
        <w:t>Around one half of the failures are due to unanticipated human toxicity. Adverse drug reactions kill thousands of people in the UK and costs NHS England billions each year. Tests on human cells and tissues can predict dangerous drug side effects where animal tests and even human trials fail.</w:t>
      </w:r>
    </w:p>
    <w:p w14:paraId="2895B916"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173AB7B2" w14:textId="49DC560C" w:rsidR="00A5762C" w:rsidRPr="00DC55A1" w:rsidRDefault="00CF0D30"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A NAMs </w:t>
      </w:r>
      <w:r w:rsidR="00A5762C" w:rsidRPr="00DC55A1">
        <w:rPr>
          <w:rFonts w:eastAsia="Calibri" w:cstheme="minorHAnsi"/>
          <w:kern w:val="0"/>
          <w:sz w:val="24"/>
          <w:szCs w:val="24"/>
          <w14:ligatures w14:val="none"/>
        </w:rPr>
        <w:t xml:space="preserve">alternative </w:t>
      </w:r>
      <w:r w:rsidR="004A515B" w:rsidRPr="00DC55A1">
        <w:rPr>
          <w:rFonts w:eastAsia="Calibri" w:cstheme="minorHAnsi"/>
          <w:kern w:val="0"/>
          <w:sz w:val="24"/>
          <w:szCs w:val="24"/>
          <w14:ligatures w14:val="none"/>
        </w:rPr>
        <w:t>‘</w:t>
      </w:r>
      <w:r w:rsidR="00A5762C" w:rsidRPr="00DC55A1">
        <w:rPr>
          <w:rFonts w:eastAsia="Calibri" w:cstheme="minorHAnsi"/>
          <w:kern w:val="0"/>
          <w:sz w:val="24"/>
          <w:szCs w:val="24"/>
          <w14:ligatures w14:val="none"/>
        </w:rPr>
        <w:t>Liver on a chip</w:t>
      </w:r>
      <w:r w:rsidR="004A515B" w:rsidRPr="00DC55A1">
        <w:rPr>
          <w:rFonts w:eastAsia="Calibri" w:cstheme="minorHAnsi"/>
          <w:kern w:val="0"/>
          <w:sz w:val="24"/>
          <w:szCs w:val="24"/>
          <w14:ligatures w14:val="none"/>
        </w:rPr>
        <w:t>’</w:t>
      </w:r>
      <w:r w:rsidR="00A5762C" w:rsidRPr="00DC55A1">
        <w:rPr>
          <w:rFonts w:eastAsia="Calibri" w:cstheme="minorHAnsi"/>
          <w:kern w:val="0"/>
          <w:sz w:val="24"/>
          <w:szCs w:val="24"/>
          <w14:ligatures w14:val="none"/>
        </w:rPr>
        <w:t xml:space="preserve"> has 87% human relevant accuracy</w:t>
      </w:r>
      <w:r w:rsidR="005419C8" w:rsidRPr="00DC55A1">
        <w:rPr>
          <w:rFonts w:eastAsia="Calibri" w:cstheme="minorHAnsi"/>
          <w:kern w:val="0"/>
          <w:sz w:val="24"/>
          <w:szCs w:val="24"/>
          <w14:ligatures w14:val="none"/>
        </w:rPr>
        <w:t>.</w:t>
      </w:r>
    </w:p>
    <w:p w14:paraId="54AB8DBD"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42A5EE79" w14:textId="0C12B9F9" w:rsidR="00A5762C" w:rsidRPr="00DC55A1" w:rsidRDefault="004A515B"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One p</w:t>
      </w:r>
      <w:r w:rsidR="00A5762C" w:rsidRPr="00DC55A1">
        <w:rPr>
          <w:rFonts w:eastAsia="Calibri" w:cstheme="minorHAnsi"/>
          <w:kern w:val="0"/>
          <w:sz w:val="24"/>
          <w:szCs w:val="24"/>
          <w14:ligatures w14:val="none"/>
        </w:rPr>
        <w:t>roblem with validating NAMs is they must match results from animals. NAMs will never do this as results are human relevant, using non</w:t>
      </w:r>
      <w:r w:rsidR="009F53DF">
        <w:rPr>
          <w:rFonts w:eastAsia="Calibri" w:cstheme="minorHAnsi"/>
          <w:kern w:val="0"/>
          <w:sz w:val="24"/>
          <w:szCs w:val="24"/>
          <w14:ligatures w14:val="none"/>
        </w:rPr>
        <w:t>-predictive</w:t>
      </w:r>
      <w:r w:rsidR="00A5762C" w:rsidRPr="00DC55A1">
        <w:rPr>
          <w:rFonts w:eastAsia="Calibri" w:cstheme="minorHAnsi"/>
          <w:kern w:val="0"/>
          <w:sz w:val="24"/>
          <w:szCs w:val="24"/>
          <w14:ligatures w14:val="none"/>
        </w:rPr>
        <w:t xml:space="preserve"> animal models </w:t>
      </w:r>
      <w:r w:rsidR="005419C8" w:rsidRPr="00DC55A1">
        <w:rPr>
          <w:rFonts w:eastAsia="Calibri" w:cstheme="minorHAnsi"/>
          <w:kern w:val="0"/>
          <w:sz w:val="24"/>
          <w:szCs w:val="24"/>
          <w14:ligatures w14:val="none"/>
        </w:rPr>
        <w:t>are</w:t>
      </w:r>
      <w:r w:rsidR="00A5762C" w:rsidRPr="00DC55A1">
        <w:rPr>
          <w:rFonts w:eastAsia="Calibri" w:cstheme="minorHAnsi"/>
          <w:kern w:val="0"/>
          <w:sz w:val="24"/>
          <w:szCs w:val="24"/>
          <w14:ligatures w14:val="none"/>
        </w:rPr>
        <w:t xml:space="preserve"> not. </w:t>
      </w:r>
      <w:r w:rsidR="00CF0D30" w:rsidRPr="00DC55A1">
        <w:rPr>
          <w:rFonts w:eastAsia="Calibri" w:cstheme="minorHAnsi"/>
          <w:kern w:val="0"/>
          <w:sz w:val="24"/>
          <w:szCs w:val="24"/>
          <w14:ligatures w14:val="none"/>
        </w:rPr>
        <w:t xml:space="preserve">Use of animals </w:t>
      </w:r>
      <w:r w:rsidR="000D38E8" w:rsidRPr="00DC55A1">
        <w:rPr>
          <w:rFonts w:eastAsia="Calibri" w:cstheme="minorHAnsi"/>
          <w:kern w:val="0"/>
          <w:sz w:val="24"/>
          <w:szCs w:val="24"/>
          <w14:ligatures w14:val="none"/>
        </w:rPr>
        <w:t xml:space="preserve">has never been validated or approved. </w:t>
      </w:r>
    </w:p>
    <w:p w14:paraId="0EFAEA8B"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72BA6462" w14:textId="347A21C1"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Universities teach maybe 1 hour of NAMs a term. Needs a complete </w:t>
      </w:r>
      <w:r w:rsidR="005419C8" w:rsidRPr="00DC55A1">
        <w:rPr>
          <w:rFonts w:eastAsia="Calibri" w:cstheme="minorHAnsi"/>
          <w:kern w:val="0"/>
          <w:sz w:val="24"/>
          <w:szCs w:val="24"/>
          <w14:ligatures w14:val="none"/>
        </w:rPr>
        <w:t xml:space="preserve">educational </w:t>
      </w:r>
      <w:r w:rsidRPr="00DC55A1">
        <w:rPr>
          <w:rFonts w:eastAsia="Calibri" w:cstheme="minorHAnsi"/>
          <w:kern w:val="0"/>
          <w:sz w:val="24"/>
          <w:szCs w:val="24"/>
          <w14:ligatures w14:val="none"/>
        </w:rPr>
        <w:t>paradigm shift.</w:t>
      </w:r>
    </w:p>
    <w:p w14:paraId="7BD44FFF"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73A9E7ED" w14:textId="01A92DC7" w:rsidR="00A5762C" w:rsidRPr="00DC55A1" w:rsidRDefault="00A5762C" w:rsidP="00DC55A1">
      <w:pPr>
        <w:numPr>
          <w:ilvl w:val="0"/>
          <w:numId w:val="1"/>
        </w:numPr>
        <w:spacing w:after="0" w:line="256" w:lineRule="auto"/>
        <w:contextualSpacing/>
        <w:jc w:val="both"/>
        <w:rPr>
          <w:rFonts w:eastAsia="Calibri" w:cstheme="minorHAnsi"/>
          <w:color w:val="000000" w:themeColor="text1"/>
          <w:kern w:val="0"/>
          <w:sz w:val="24"/>
          <w:szCs w:val="24"/>
          <w14:ligatures w14:val="none"/>
        </w:rPr>
      </w:pPr>
      <w:r w:rsidRPr="00DC55A1">
        <w:rPr>
          <w:rFonts w:eastAsia="Calibri" w:cstheme="minorHAnsi"/>
          <w:kern w:val="0"/>
          <w:sz w:val="24"/>
          <w:szCs w:val="24"/>
          <w14:ligatures w14:val="none"/>
        </w:rPr>
        <w:lastRenderedPageBreak/>
        <w:t>We do</w:t>
      </w:r>
      <w:r w:rsidR="005419C8" w:rsidRPr="00DC55A1">
        <w:rPr>
          <w:rFonts w:eastAsia="Calibri" w:cstheme="minorHAnsi"/>
          <w:kern w:val="0"/>
          <w:sz w:val="24"/>
          <w:szCs w:val="24"/>
          <w14:ligatures w14:val="none"/>
        </w:rPr>
        <w:t xml:space="preserve"> </w:t>
      </w:r>
      <w:r w:rsidRPr="00DC55A1">
        <w:rPr>
          <w:rFonts w:eastAsia="Calibri" w:cstheme="minorHAnsi"/>
          <w:kern w:val="0"/>
          <w:sz w:val="24"/>
          <w:szCs w:val="24"/>
          <w14:ligatures w14:val="none"/>
        </w:rPr>
        <w:t>n</w:t>
      </w:r>
      <w:r w:rsidR="005419C8" w:rsidRPr="00DC55A1">
        <w:rPr>
          <w:rFonts w:eastAsia="Calibri" w:cstheme="minorHAnsi"/>
          <w:kern w:val="0"/>
          <w:sz w:val="24"/>
          <w:szCs w:val="24"/>
          <w14:ligatures w14:val="none"/>
        </w:rPr>
        <w:t>o</w:t>
      </w:r>
      <w:r w:rsidRPr="00DC55A1">
        <w:rPr>
          <w:rFonts w:eastAsia="Calibri" w:cstheme="minorHAnsi"/>
          <w:kern w:val="0"/>
          <w:sz w:val="24"/>
          <w:szCs w:val="24"/>
          <w14:ligatures w14:val="none"/>
        </w:rPr>
        <w:t>t have cures; we do</w:t>
      </w:r>
      <w:r w:rsidR="005419C8" w:rsidRPr="00DC55A1">
        <w:rPr>
          <w:rFonts w:eastAsia="Calibri" w:cstheme="minorHAnsi"/>
          <w:kern w:val="0"/>
          <w:sz w:val="24"/>
          <w:szCs w:val="24"/>
          <w14:ligatures w14:val="none"/>
        </w:rPr>
        <w:t xml:space="preserve"> </w:t>
      </w:r>
      <w:r w:rsidRPr="00DC55A1">
        <w:rPr>
          <w:rFonts w:eastAsia="Calibri" w:cstheme="minorHAnsi"/>
          <w:kern w:val="0"/>
          <w:sz w:val="24"/>
          <w:szCs w:val="24"/>
          <w14:ligatures w14:val="none"/>
        </w:rPr>
        <w:t>n</w:t>
      </w:r>
      <w:r w:rsidR="005419C8" w:rsidRPr="00DC55A1">
        <w:rPr>
          <w:rFonts w:eastAsia="Calibri" w:cstheme="minorHAnsi"/>
          <w:kern w:val="0"/>
          <w:sz w:val="24"/>
          <w:szCs w:val="24"/>
          <w14:ligatures w14:val="none"/>
        </w:rPr>
        <w:t>o</w:t>
      </w:r>
      <w:r w:rsidRPr="00DC55A1">
        <w:rPr>
          <w:rFonts w:eastAsia="Calibri" w:cstheme="minorHAnsi"/>
          <w:kern w:val="0"/>
          <w:sz w:val="24"/>
          <w:szCs w:val="24"/>
          <w14:ligatures w14:val="none"/>
        </w:rPr>
        <w:t>t have effective medication for human neurological conditions or cancers. This is</w:t>
      </w:r>
      <w:r w:rsidR="005419C8" w:rsidRPr="00DC55A1">
        <w:rPr>
          <w:rFonts w:eastAsia="Calibri" w:cstheme="minorHAnsi"/>
          <w:kern w:val="0"/>
          <w:sz w:val="24"/>
          <w:szCs w:val="24"/>
          <w14:ligatures w14:val="none"/>
        </w:rPr>
        <w:t xml:space="preserve"> </w:t>
      </w:r>
      <w:r w:rsidRPr="00DC55A1">
        <w:rPr>
          <w:rFonts w:eastAsia="Calibri" w:cstheme="minorHAnsi"/>
          <w:kern w:val="0"/>
          <w:sz w:val="24"/>
          <w:szCs w:val="24"/>
          <w14:ligatures w14:val="none"/>
        </w:rPr>
        <w:t>n</w:t>
      </w:r>
      <w:r w:rsidR="005419C8" w:rsidRPr="00DC55A1">
        <w:rPr>
          <w:rFonts w:eastAsia="Calibri" w:cstheme="minorHAnsi"/>
          <w:kern w:val="0"/>
          <w:sz w:val="24"/>
          <w:szCs w:val="24"/>
          <w14:ligatures w14:val="none"/>
        </w:rPr>
        <w:t>o</w:t>
      </w:r>
      <w:r w:rsidRPr="00DC55A1">
        <w:rPr>
          <w:rFonts w:eastAsia="Calibri" w:cstheme="minorHAnsi"/>
          <w:kern w:val="0"/>
          <w:sz w:val="24"/>
          <w:szCs w:val="24"/>
          <w14:ligatures w14:val="none"/>
        </w:rPr>
        <w:t>t about a choice of testing on an animal or a child this is about using NAMs where no species is harmed and results are superior, cheaper, better, human relevant science.</w:t>
      </w:r>
      <w:r w:rsidR="00F145CD" w:rsidRPr="00DC55A1">
        <w:rPr>
          <w:rFonts w:cstheme="minorHAnsi"/>
          <w:color w:val="041C2C"/>
          <w:sz w:val="24"/>
          <w:szCs w:val="24"/>
          <w:bdr w:val="none" w:sz="0" w:space="0" w:color="auto" w:frame="1"/>
          <w:shd w:val="clear" w:color="auto" w:fill="FFFFFF"/>
        </w:rPr>
        <w:t xml:space="preserve"> </w:t>
      </w:r>
      <w:r w:rsidR="00F145CD" w:rsidRPr="00DC55A1">
        <w:rPr>
          <w:rFonts w:cstheme="minorHAnsi"/>
          <w:color w:val="000000" w:themeColor="text1"/>
          <w:sz w:val="24"/>
          <w:szCs w:val="24"/>
          <w:bdr w:val="none" w:sz="0" w:space="0" w:color="auto" w:frame="1"/>
          <w:shd w:val="clear" w:color="auto" w:fill="FFFFFF"/>
        </w:rPr>
        <w:t xml:space="preserve">We must </w:t>
      </w:r>
      <w:r w:rsidR="001B189D" w:rsidRPr="00DC55A1">
        <w:rPr>
          <w:rFonts w:cstheme="minorHAnsi"/>
          <w:color w:val="000000" w:themeColor="text1"/>
          <w:sz w:val="24"/>
          <w:szCs w:val="24"/>
          <w:bdr w:val="none" w:sz="0" w:space="0" w:color="auto" w:frame="1"/>
          <w:shd w:val="clear" w:color="auto" w:fill="FFFFFF"/>
        </w:rPr>
        <w:t>move to use</w:t>
      </w:r>
      <w:r w:rsidR="00F145CD" w:rsidRPr="00DC55A1">
        <w:rPr>
          <w:rStyle w:val="Strong"/>
          <w:rFonts w:cstheme="minorHAnsi"/>
          <w:color w:val="000000" w:themeColor="text1"/>
          <w:sz w:val="24"/>
          <w:szCs w:val="24"/>
          <w:bdr w:val="none" w:sz="0" w:space="0" w:color="auto" w:frame="1"/>
          <w:shd w:val="clear" w:color="auto" w:fill="FFFFFF"/>
        </w:rPr>
        <w:t xml:space="preserve"> </w:t>
      </w:r>
      <w:r w:rsidR="00F145CD" w:rsidRPr="00DC55A1">
        <w:rPr>
          <w:rStyle w:val="Strong"/>
          <w:rFonts w:cstheme="minorHAnsi"/>
          <w:b w:val="0"/>
          <w:bCs w:val="0"/>
          <w:color w:val="000000" w:themeColor="text1"/>
          <w:sz w:val="24"/>
          <w:szCs w:val="24"/>
          <w:bdr w:val="none" w:sz="0" w:space="0" w:color="auto" w:frame="1"/>
          <w:shd w:val="clear" w:color="auto" w:fill="FFFFFF"/>
        </w:rPr>
        <w:t>cutting-edge new approaches</w:t>
      </w:r>
      <w:r w:rsidR="00F145CD" w:rsidRPr="00DC55A1">
        <w:rPr>
          <w:rFonts w:cstheme="minorHAnsi"/>
          <w:color w:val="000000" w:themeColor="text1"/>
          <w:sz w:val="24"/>
          <w:szCs w:val="24"/>
          <w:shd w:val="clear" w:color="auto" w:fill="FFFFFF"/>
        </w:rPr>
        <w:t> that are relevant to humans, not animals.</w:t>
      </w:r>
    </w:p>
    <w:p w14:paraId="42F98CC2"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583377B1" w14:textId="77777777"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Using animals to predict toxicity safety of human pharmaceuticals can: 1) Falsely identify a toxic drug as “safe” 2) Falsely label a potentially useful therapeutic agent as toxic. It fails both ways.</w:t>
      </w:r>
    </w:p>
    <w:p w14:paraId="0B7E77BF" w14:textId="77777777" w:rsidR="00306FB0" w:rsidRPr="00DC55A1" w:rsidRDefault="00306FB0" w:rsidP="00DC55A1">
      <w:pPr>
        <w:spacing w:after="0" w:line="256" w:lineRule="auto"/>
        <w:contextualSpacing/>
        <w:jc w:val="both"/>
        <w:rPr>
          <w:rFonts w:eastAsia="Calibri" w:cstheme="minorHAnsi"/>
          <w:kern w:val="0"/>
          <w:sz w:val="24"/>
          <w:szCs w:val="24"/>
          <w14:ligatures w14:val="none"/>
        </w:rPr>
      </w:pPr>
    </w:p>
    <w:p w14:paraId="4983A03C" w14:textId="3892B887" w:rsidR="00A5762C" w:rsidRPr="00DC55A1" w:rsidRDefault="00A5762C" w:rsidP="00DC55A1">
      <w:pPr>
        <w:pStyle w:val="ListParagraph"/>
        <w:numPr>
          <w:ilvl w:val="0"/>
          <w:numId w:val="1"/>
        </w:numPr>
        <w:jc w:val="both"/>
        <w:rPr>
          <w:rFonts w:cstheme="minorHAnsi"/>
          <w:b/>
          <w:sz w:val="24"/>
          <w:szCs w:val="24"/>
        </w:rPr>
      </w:pPr>
      <w:r w:rsidRPr="00DC55A1">
        <w:rPr>
          <w:rFonts w:eastAsia="Calibri" w:cstheme="minorHAnsi"/>
          <w:kern w:val="0"/>
          <w:sz w:val="24"/>
          <w:szCs w:val="24"/>
          <w14:ligatures w14:val="none"/>
        </w:rPr>
        <w:t>Financing for NAMs development is significantly less than 1% compared to that for animal research.</w:t>
      </w:r>
      <w:r w:rsidR="004A515B" w:rsidRPr="00DC55A1">
        <w:rPr>
          <w:rFonts w:cstheme="minorHAnsi"/>
          <w:bCs/>
          <w:sz w:val="24"/>
          <w:szCs w:val="24"/>
        </w:rPr>
        <w:t xml:space="preserve"> We are campaigning for the government to redirect funding to the development of human relevant science</w:t>
      </w:r>
      <w:r w:rsidR="00DC55A1">
        <w:rPr>
          <w:rFonts w:cstheme="minorHAnsi"/>
          <w:bCs/>
          <w:sz w:val="24"/>
          <w:szCs w:val="24"/>
        </w:rPr>
        <w:t>; for instance,</w:t>
      </w:r>
      <w:r w:rsidR="004A515B" w:rsidRPr="00DC55A1">
        <w:rPr>
          <w:rFonts w:cstheme="minorHAnsi"/>
          <w:bCs/>
          <w:sz w:val="24"/>
          <w:szCs w:val="24"/>
        </w:rPr>
        <w:t xml:space="preserve"> organs on a chip. </w:t>
      </w:r>
      <w:r w:rsidR="00DC55A1" w:rsidRPr="00DC55A1">
        <w:rPr>
          <w:rFonts w:cstheme="minorHAnsi"/>
          <w:bCs/>
          <w:sz w:val="24"/>
          <w:szCs w:val="24"/>
        </w:rPr>
        <w:t>Also,</w:t>
      </w:r>
      <w:r w:rsidR="004A515B" w:rsidRPr="00DC55A1">
        <w:rPr>
          <w:rFonts w:cstheme="minorHAnsi"/>
          <w:bCs/>
          <w:sz w:val="24"/>
          <w:szCs w:val="24"/>
        </w:rPr>
        <w:t xml:space="preserve"> we want existing methods to be used, that harm no species such as for toxicity liver on a chip. We do not accept that testing translates from one species to another, we also highlight the non reproducibility of tests. We are not in the same position as a hundred years ago, we need change right now. To show their commitment to human health we look to the new Government to fund urgently the development and use of NAMs by £1 billion.</w:t>
      </w:r>
    </w:p>
    <w:p w14:paraId="59A6FCF4" w14:textId="00B97304"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For repeat dose toxicity testing </w:t>
      </w:r>
      <w:r w:rsidR="00AA3FBA" w:rsidRPr="00DC55A1">
        <w:rPr>
          <w:rFonts w:eastAsia="Calibri" w:cstheme="minorHAnsi"/>
          <w:kern w:val="0"/>
          <w:sz w:val="24"/>
          <w:szCs w:val="24"/>
          <w14:ligatures w14:val="none"/>
        </w:rPr>
        <w:t>i</w:t>
      </w:r>
      <w:r w:rsidRPr="00DC55A1">
        <w:rPr>
          <w:rFonts w:eastAsia="Calibri" w:cstheme="minorHAnsi"/>
          <w:kern w:val="0"/>
          <w:sz w:val="24"/>
          <w:szCs w:val="24"/>
          <w14:ligatures w14:val="none"/>
        </w:rPr>
        <w:t xml:space="preserve">ngesting is via a forced procedure called ‘gavage’, involving a flexible tube pushed manually down a dog’s throat into its stomach without any pain relief for 1-3 times daily. This </w:t>
      </w:r>
      <w:r w:rsidR="005419C8" w:rsidRPr="00DC55A1">
        <w:rPr>
          <w:rFonts w:eastAsia="Calibri" w:cstheme="minorHAnsi"/>
          <w:kern w:val="0"/>
          <w:sz w:val="24"/>
          <w:szCs w:val="24"/>
          <w14:ligatures w14:val="none"/>
        </w:rPr>
        <w:t xml:space="preserve">is </w:t>
      </w:r>
      <w:r w:rsidRPr="00DC55A1">
        <w:rPr>
          <w:rFonts w:eastAsia="Calibri" w:cstheme="minorHAnsi"/>
          <w:kern w:val="0"/>
          <w:sz w:val="24"/>
          <w:szCs w:val="24"/>
          <w14:ligatures w14:val="none"/>
        </w:rPr>
        <w:t xml:space="preserve">considered </w:t>
      </w:r>
      <w:r w:rsidR="005419C8" w:rsidRPr="00DC55A1">
        <w:rPr>
          <w:rFonts w:eastAsia="Calibri" w:cstheme="minorHAnsi"/>
          <w:kern w:val="0"/>
          <w:sz w:val="24"/>
          <w:szCs w:val="24"/>
          <w14:ligatures w14:val="none"/>
        </w:rPr>
        <w:t>to be</w:t>
      </w:r>
      <w:r w:rsidRPr="00DC55A1">
        <w:rPr>
          <w:rFonts w:eastAsia="Calibri" w:cstheme="minorHAnsi"/>
          <w:kern w:val="0"/>
          <w:sz w:val="24"/>
          <w:szCs w:val="24"/>
          <w14:ligatures w14:val="none"/>
        </w:rPr>
        <w:t xml:space="preserve"> mild severity classification.</w:t>
      </w:r>
      <w:r w:rsidR="0087780B" w:rsidRPr="00DC55A1">
        <w:rPr>
          <w:rFonts w:eastAsia="Calibri" w:cstheme="minorHAnsi"/>
          <w:kern w:val="0"/>
          <w:sz w:val="24"/>
          <w:szCs w:val="24"/>
          <w14:ligatures w14:val="none"/>
        </w:rPr>
        <w:t xml:space="preserve"> At the end of the test period of 28, 90 or </w:t>
      </w:r>
      <w:r w:rsidR="005419C8" w:rsidRPr="00DC55A1">
        <w:rPr>
          <w:rFonts w:eastAsia="Calibri" w:cstheme="minorHAnsi"/>
          <w:kern w:val="0"/>
          <w:sz w:val="24"/>
          <w:szCs w:val="24"/>
          <w14:ligatures w14:val="none"/>
        </w:rPr>
        <w:t xml:space="preserve">over </w:t>
      </w:r>
      <w:r w:rsidR="0087780B" w:rsidRPr="00DC55A1">
        <w:rPr>
          <w:rFonts w:eastAsia="Calibri" w:cstheme="minorHAnsi"/>
          <w:kern w:val="0"/>
          <w:sz w:val="24"/>
          <w:szCs w:val="24"/>
          <w14:ligatures w14:val="none"/>
        </w:rPr>
        <w:t xml:space="preserve">120 days the dogs are normally killed. </w:t>
      </w:r>
    </w:p>
    <w:p w14:paraId="70A123EB" w14:textId="77777777" w:rsidR="00B74959" w:rsidRPr="00DC55A1" w:rsidRDefault="00B74959" w:rsidP="00DC55A1">
      <w:pPr>
        <w:spacing w:after="0" w:line="256" w:lineRule="auto"/>
        <w:contextualSpacing/>
        <w:jc w:val="both"/>
        <w:rPr>
          <w:rFonts w:eastAsia="Calibri" w:cstheme="minorHAnsi"/>
          <w:kern w:val="0"/>
          <w:sz w:val="24"/>
          <w:szCs w:val="24"/>
          <w14:ligatures w14:val="none"/>
        </w:rPr>
      </w:pPr>
    </w:p>
    <w:p w14:paraId="764310B4" w14:textId="035609CC" w:rsidR="00A5762C" w:rsidRPr="00DC55A1" w:rsidRDefault="00A5762C"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color w:val="000000"/>
          <w:kern w:val="0"/>
          <w:sz w:val="24"/>
          <w:szCs w:val="24"/>
          <w14:ligatures w14:val="none"/>
        </w:rPr>
        <w:t>Of all dogs used in research Beagles are the breed most often used in research because of their intermediate size and loving</w:t>
      </w:r>
      <w:r w:rsidR="00F878FA" w:rsidRPr="00DC55A1">
        <w:rPr>
          <w:rFonts w:eastAsia="Calibri" w:cstheme="minorHAnsi"/>
          <w:color w:val="000000"/>
          <w:kern w:val="0"/>
          <w:sz w:val="24"/>
          <w:szCs w:val="24"/>
          <w14:ligatures w14:val="none"/>
        </w:rPr>
        <w:t xml:space="preserve"> and forgiving</w:t>
      </w:r>
      <w:r w:rsidRPr="00DC55A1">
        <w:rPr>
          <w:rFonts w:eastAsia="Calibri" w:cstheme="minorHAnsi"/>
          <w:color w:val="000000"/>
          <w:kern w:val="0"/>
          <w:sz w:val="24"/>
          <w:szCs w:val="24"/>
          <w14:ligatures w14:val="none"/>
        </w:rPr>
        <w:t xml:space="preserve"> nature.</w:t>
      </w:r>
    </w:p>
    <w:p w14:paraId="096B396B" w14:textId="77777777" w:rsidR="00543298" w:rsidRPr="00DC55A1" w:rsidRDefault="00543298" w:rsidP="00DC55A1">
      <w:pPr>
        <w:spacing w:after="0" w:line="256" w:lineRule="auto"/>
        <w:ind w:left="360"/>
        <w:contextualSpacing/>
        <w:jc w:val="both"/>
        <w:rPr>
          <w:rFonts w:eastAsia="Calibri" w:cstheme="minorHAnsi"/>
          <w:kern w:val="0"/>
          <w:sz w:val="24"/>
          <w:szCs w:val="24"/>
          <w14:ligatures w14:val="none"/>
        </w:rPr>
      </w:pPr>
    </w:p>
    <w:p w14:paraId="17BB782D" w14:textId="7D6F5FE5" w:rsidR="003E25D4" w:rsidRPr="00DC55A1" w:rsidRDefault="003E25D4" w:rsidP="00DC55A1">
      <w:pPr>
        <w:numPr>
          <w:ilvl w:val="0"/>
          <w:numId w:val="1"/>
        </w:numPr>
        <w:spacing w:after="0" w:line="256" w:lineRule="auto"/>
        <w:contextualSpacing/>
        <w:jc w:val="both"/>
        <w:rPr>
          <w:rFonts w:eastAsia="Calibri" w:cstheme="minorHAnsi"/>
          <w:kern w:val="0"/>
          <w:sz w:val="24"/>
          <w:szCs w:val="24"/>
          <w14:ligatures w14:val="none"/>
        </w:rPr>
      </w:pPr>
      <w:r w:rsidRPr="00DC55A1">
        <w:rPr>
          <w:rFonts w:eastAsia="Calibri" w:cstheme="minorHAnsi"/>
          <w:sz w:val="24"/>
          <w:szCs w:val="24"/>
        </w:rPr>
        <w:t>Reproducibility</w:t>
      </w:r>
      <w:r w:rsidRPr="00DC55A1">
        <w:rPr>
          <w:rFonts w:eastAsia="Calibri" w:cstheme="minorHAnsi"/>
          <w:spacing w:val="1"/>
          <w:sz w:val="24"/>
          <w:szCs w:val="24"/>
        </w:rPr>
        <w:t xml:space="preserve"> </w:t>
      </w:r>
      <w:r w:rsidRPr="00DC55A1">
        <w:rPr>
          <w:rFonts w:eastAsia="Calibri" w:cstheme="minorHAnsi"/>
          <w:sz w:val="24"/>
          <w:szCs w:val="24"/>
        </w:rPr>
        <w:t>of</w:t>
      </w:r>
      <w:r w:rsidRPr="00DC55A1">
        <w:rPr>
          <w:rFonts w:eastAsia="Calibri" w:cstheme="minorHAnsi"/>
          <w:spacing w:val="1"/>
          <w:sz w:val="24"/>
          <w:szCs w:val="24"/>
        </w:rPr>
        <w:t xml:space="preserve"> </w:t>
      </w:r>
      <w:r w:rsidRPr="00DC55A1">
        <w:rPr>
          <w:rFonts w:eastAsia="Calibri" w:cstheme="minorHAnsi"/>
          <w:sz w:val="24"/>
          <w:szCs w:val="24"/>
        </w:rPr>
        <w:t>animal</w:t>
      </w:r>
      <w:r w:rsidRPr="00DC55A1">
        <w:rPr>
          <w:rFonts w:eastAsia="Calibri" w:cstheme="minorHAnsi"/>
          <w:spacing w:val="1"/>
          <w:sz w:val="24"/>
          <w:szCs w:val="24"/>
        </w:rPr>
        <w:t xml:space="preserve"> </w:t>
      </w:r>
      <w:r w:rsidRPr="00DC55A1">
        <w:rPr>
          <w:rFonts w:eastAsia="Calibri" w:cstheme="minorHAnsi"/>
          <w:sz w:val="24"/>
          <w:szCs w:val="24"/>
        </w:rPr>
        <w:t>studies</w:t>
      </w:r>
      <w:r w:rsidRPr="00DC55A1">
        <w:rPr>
          <w:rFonts w:eastAsia="Calibri" w:cstheme="minorHAnsi"/>
          <w:spacing w:val="1"/>
          <w:sz w:val="24"/>
          <w:szCs w:val="24"/>
        </w:rPr>
        <w:t xml:space="preserve"> </w:t>
      </w:r>
      <w:r w:rsidRPr="00DC55A1">
        <w:rPr>
          <w:rFonts w:eastAsia="Calibri" w:cstheme="minorHAnsi"/>
          <w:sz w:val="24"/>
          <w:szCs w:val="24"/>
        </w:rPr>
        <w:t>within</w:t>
      </w:r>
      <w:r w:rsidRPr="00DC55A1">
        <w:rPr>
          <w:rFonts w:eastAsia="Calibri" w:cstheme="minorHAnsi"/>
          <w:spacing w:val="1"/>
          <w:sz w:val="24"/>
          <w:szCs w:val="24"/>
        </w:rPr>
        <w:t xml:space="preserve"> </w:t>
      </w:r>
      <w:r w:rsidRPr="00DC55A1">
        <w:rPr>
          <w:rFonts w:eastAsia="Calibri" w:cstheme="minorHAnsi"/>
          <w:sz w:val="24"/>
          <w:szCs w:val="24"/>
        </w:rPr>
        <w:t>species,</w:t>
      </w:r>
      <w:r w:rsidRPr="00DC55A1">
        <w:rPr>
          <w:rFonts w:eastAsia="Calibri" w:cstheme="minorHAnsi"/>
          <w:spacing w:val="1"/>
          <w:sz w:val="24"/>
          <w:szCs w:val="24"/>
        </w:rPr>
        <w:t xml:space="preserve"> </w:t>
      </w:r>
      <w:r w:rsidRPr="00DC55A1">
        <w:rPr>
          <w:rFonts w:eastAsia="Calibri" w:cstheme="minorHAnsi"/>
          <w:sz w:val="24"/>
          <w:szCs w:val="24"/>
        </w:rPr>
        <w:t>even</w:t>
      </w:r>
      <w:r w:rsidRPr="00DC55A1">
        <w:rPr>
          <w:rFonts w:eastAsia="Calibri" w:cstheme="minorHAnsi"/>
          <w:spacing w:val="1"/>
          <w:sz w:val="24"/>
          <w:szCs w:val="24"/>
        </w:rPr>
        <w:t xml:space="preserve"> </w:t>
      </w:r>
      <w:r w:rsidRPr="00DC55A1">
        <w:rPr>
          <w:rFonts w:eastAsia="Calibri" w:cstheme="minorHAnsi"/>
          <w:sz w:val="24"/>
          <w:szCs w:val="24"/>
        </w:rPr>
        <w:t>when</w:t>
      </w:r>
      <w:r w:rsidRPr="00DC55A1">
        <w:rPr>
          <w:rFonts w:eastAsia="Calibri" w:cstheme="minorHAnsi"/>
          <w:spacing w:val="1"/>
          <w:sz w:val="24"/>
          <w:szCs w:val="24"/>
        </w:rPr>
        <w:t xml:space="preserve"> </w:t>
      </w:r>
      <w:r w:rsidRPr="00DC55A1">
        <w:rPr>
          <w:rFonts w:eastAsia="Calibri" w:cstheme="minorHAnsi"/>
          <w:sz w:val="24"/>
          <w:szCs w:val="24"/>
        </w:rPr>
        <w:t>carried</w:t>
      </w:r>
      <w:r w:rsidRPr="00DC55A1">
        <w:rPr>
          <w:rFonts w:eastAsia="Calibri" w:cstheme="minorHAnsi"/>
          <w:spacing w:val="1"/>
          <w:sz w:val="24"/>
          <w:szCs w:val="24"/>
        </w:rPr>
        <w:t xml:space="preserve"> </w:t>
      </w:r>
      <w:r w:rsidRPr="00DC55A1">
        <w:rPr>
          <w:rFonts w:eastAsia="Calibri" w:cstheme="minorHAnsi"/>
          <w:sz w:val="24"/>
          <w:szCs w:val="24"/>
        </w:rPr>
        <w:t>out</w:t>
      </w:r>
      <w:r w:rsidRPr="00DC55A1">
        <w:rPr>
          <w:rFonts w:eastAsia="Calibri" w:cstheme="minorHAnsi"/>
          <w:spacing w:val="1"/>
          <w:sz w:val="24"/>
          <w:szCs w:val="24"/>
        </w:rPr>
        <w:t xml:space="preserve"> </w:t>
      </w:r>
      <w:r w:rsidRPr="00DC55A1">
        <w:rPr>
          <w:rFonts w:eastAsia="Calibri" w:cstheme="minorHAnsi"/>
          <w:sz w:val="24"/>
          <w:szCs w:val="24"/>
        </w:rPr>
        <w:t>under</w:t>
      </w:r>
      <w:r w:rsidRPr="00DC55A1">
        <w:rPr>
          <w:rFonts w:eastAsia="Calibri" w:cstheme="minorHAnsi"/>
          <w:spacing w:val="1"/>
          <w:sz w:val="24"/>
          <w:szCs w:val="24"/>
        </w:rPr>
        <w:t xml:space="preserve"> </w:t>
      </w:r>
      <w:r w:rsidRPr="00DC55A1">
        <w:rPr>
          <w:rFonts w:eastAsia="Calibri" w:cstheme="minorHAnsi"/>
          <w:sz w:val="24"/>
          <w:szCs w:val="24"/>
        </w:rPr>
        <w:t>rigorous</w:t>
      </w:r>
      <w:r w:rsidRPr="00DC55A1">
        <w:rPr>
          <w:rFonts w:eastAsia="Calibri" w:cstheme="minorHAnsi"/>
          <w:spacing w:val="1"/>
          <w:sz w:val="24"/>
          <w:szCs w:val="24"/>
        </w:rPr>
        <w:t xml:space="preserve"> </w:t>
      </w:r>
      <w:r w:rsidRPr="00DC55A1">
        <w:rPr>
          <w:rFonts w:eastAsia="Calibri" w:cstheme="minorHAnsi"/>
          <w:sz w:val="24"/>
          <w:szCs w:val="24"/>
        </w:rPr>
        <w:t>protocols,</w:t>
      </w:r>
      <w:r w:rsidRPr="00DC55A1">
        <w:rPr>
          <w:rFonts w:eastAsia="Calibri" w:cstheme="minorHAnsi"/>
          <w:spacing w:val="49"/>
          <w:sz w:val="24"/>
          <w:szCs w:val="24"/>
        </w:rPr>
        <w:t xml:space="preserve"> </w:t>
      </w:r>
      <w:r w:rsidRPr="00DC55A1">
        <w:rPr>
          <w:rFonts w:eastAsia="Calibri" w:cstheme="minorHAnsi"/>
          <w:sz w:val="24"/>
          <w:szCs w:val="24"/>
        </w:rPr>
        <w:t>is</w:t>
      </w:r>
      <w:r w:rsidRPr="00DC55A1">
        <w:rPr>
          <w:rFonts w:eastAsia="Calibri" w:cstheme="minorHAnsi"/>
          <w:spacing w:val="1"/>
          <w:sz w:val="24"/>
          <w:szCs w:val="24"/>
        </w:rPr>
        <w:t xml:space="preserve"> </w:t>
      </w:r>
      <w:r w:rsidRPr="00DC55A1">
        <w:rPr>
          <w:rFonts w:eastAsia="Calibri" w:cstheme="minorHAnsi"/>
          <w:sz w:val="24"/>
          <w:szCs w:val="24"/>
        </w:rPr>
        <w:t>questionable and a</w:t>
      </w:r>
      <w:r w:rsidR="004A515B" w:rsidRPr="00DC55A1">
        <w:rPr>
          <w:rFonts w:eastAsia="Calibri" w:cstheme="minorHAnsi"/>
          <w:sz w:val="24"/>
          <w:szCs w:val="24"/>
        </w:rPr>
        <w:t xml:space="preserve">verages </w:t>
      </w:r>
      <w:r w:rsidRPr="00DC55A1">
        <w:rPr>
          <w:rFonts w:eastAsia="Calibri" w:cstheme="minorHAnsi"/>
          <w:sz w:val="24"/>
          <w:szCs w:val="24"/>
        </w:rPr>
        <w:t xml:space="preserve">70%. Change of lighting, diet, housing all can make a difference to results. </w:t>
      </w:r>
    </w:p>
    <w:p w14:paraId="3AC2FDA9" w14:textId="77777777" w:rsidR="00C57140" w:rsidRPr="00DC55A1" w:rsidRDefault="00C57140" w:rsidP="00DC55A1">
      <w:pPr>
        <w:pStyle w:val="ListParagraph"/>
        <w:jc w:val="both"/>
        <w:rPr>
          <w:rFonts w:eastAsia="Calibri" w:cstheme="minorHAnsi"/>
          <w:kern w:val="0"/>
          <w:sz w:val="24"/>
          <w:szCs w:val="24"/>
          <w14:ligatures w14:val="none"/>
        </w:rPr>
      </w:pPr>
    </w:p>
    <w:p w14:paraId="5694304A" w14:textId="77777777" w:rsidR="007A6C1F" w:rsidRPr="00DC55A1" w:rsidRDefault="007A6C1F" w:rsidP="00DC55A1">
      <w:pPr>
        <w:pStyle w:val="ListParagraph"/>
        <w:numPr>
          <w:ilvl w:val="0"/>
          <w:numId w:val="1"/>
        </w:numPr>
        <w:spacing w:line="276" w:lineRule="auto"/>
        <w:jc w:val="both"/>
        <w:rPr>
          <w:rFonts w:cstheme="minorHAnsi"/>
          <w:bCs/>
          <w:sz w:val="24"/>
          <w:szCs w:val="24"/>
        </w:rPr>
      </w:pPr>
      <w:r w:rsidRPr="00DC55A1">
        <w:rPr>
          <w:rFonts w:cstheme="minorHAnsi"/>
          <w:bCs/>
          <w:sz w:val="24"/>
          <w:szCs w:val="24"/>
        </w:rPr>
        <w:t xml:space="preserve">Global Regulator expectation is that two animal species, rodent and non-rodent, be used for safety/toxicity </w:t>
      </w:r>
      <w:r w:rsidRPr="00DC55A1">
        <w:rPr>
          <w:rFonts w:cstheme="minorHAnsi"/>
          <w:bCs/>
          <w:color w:val="000000"/>
          <w:sz w:val="24"/>
          <w:szCs w:val="24"/>
        </w:rPr>
        <w:t>testing, before progression to human clinical trials</w:t>
      </w:r>
      <w:r w:rsidRPr="00DC55A1">
        <w:rPr>
          <w:rFonts w:cstheme="minorHAnsi"/>
          <w:bCs/>
          <w:sz w:val="24"/>
          <w:szCs w:val="24"/>
        </w:rPr>
        <w:t xml:space="preserve">. Use of dogs and non-human primates (NHPs) have been shown to add just 2% and 0.4% respectively to the weight of evidence of existing probabilities that new drugs might be safe. This negligible contribution is statistically insignificant to safety assurances, and causes massive needless animal suffering and death, increased monetary costs and also time delays to product development. </w:t>
      </w:r>
    </w:p>
    <w:p w14:paraId="153AE8A4" w14:textId="77777777" w:rsidR="005419C8" w:rsidRPr="00DC55A1" w:rsidRDefault="005419C8" w:rsidP="00DC55A1">
      <w:pPr>
        <w:pStyle w:val="ListParagraph"/>
        <w:jc w:val="both"/>
        <w:rPr>
          <w:rFonts w:cstheme="minorHAnsi"/>
          <w:bCs/>
          <w:sz w:val="24"/>
          <w:szCs w:val="24"/>
        </w:rPr>
      </w:pPr>
    </w:p>
    <w:p w14:paraId="32E4F940" w14:textId="1983D886" w:rsidR="005419C8" w:rsidRPr="00DC55A1" w:rsidRDefault="005419C8" w:rsidP="00DC55A1">
      <w:pPr>
        <w:pStyle w:val="ListParagraph"/>
        <w:numPr>
          <w:ilvl w:val="0"/>
          <w:numId w:val="1"/>
        </w:numPr>
        <w:spacing w:line="276" w:lineRule="auto"/>
        <w:jc w:val="both"/>
        <w:rPr>
          <w:rFonts w:cstheme="minorHAnsi"/>
          <w:bCs/>
          <w:sz w:val="24"/>
          <w:szCs w:val="24"/>
        </w:rPr>
      </w:pPr>
      <w:r w:rsidRPr="00DC55A1">
        <w:rPr>
          <w:rFonts w:cstheme="minorHAnsi"/>
          <w:bCs/>
          <w:sz w:val="24"/>
          <w:szCs w:val="24"/>
        </w:rPr>
        <w:lastRenderedPageBreak/>
        <w:t>Impex Services International Limited are the private family</w:t>
      </w:r>
      <w:r w:rsidR="004F5903" w:rsidRPr="00DC55A1">
        <w:rPr>
          <w:rFonts w:cstheme="minorHAnsi"/>
          <w:bCs/>
          <w:sz w:val="24"/>
          <w:szCs w:val="24"/>
        </w:rPr>
        <w:t>-</w:t>
      </w:r>
      <w:r w:rsidRPr="00DC55A1">
        <w:rPr>
          <w:rFonts w:cstheme="minorHAnsi"/>
          <w:bCs/>
          <w:sz w:val="24"/>
          <w:szCs w:val="24"/>
        </w:rPr>
        <w:t xml:space="preserve">owned couriers who ship dogs, monkeys, mice, fish etc. from breeding centres or Manchester Airport to laboratories. When the vans take audibly distressed puppies from MBR Acres we refer to them as ‘death vans’ as they are literally transporting animals to their death.  We refer to Impex as the couriers of cruelty. </w:t>
      </w:r>
    </w:p>
    <w:p w14:paraId="76A1D1E5" w14:textId="77777777" w:rsidR="004F5903" w:rsidRPr="00DC55A1" w:rsidRDefault="004F5903" w:rsidP="00DC55A1">
      <w:pPr>
        <w:pStyle w:val="ListParagraph"/>
        <w:jc w:val="both"/>
        <w:rPr>
          <w:rFonts w:cstheme="minorHAnsi"/>
          <w:bCs/>
          <w:color w:val="000000" w:themeColor="text1"/>
          <w:sz w:val="24"/>
          <w:szCs w:val="24"/>
        </w:rPr>
      </w:pPr>
    </w:p>
    <w:p w14:paraId="463B93CC" w14:textId="76E0F5BB" w:rsidR="004F5903" w:rsidRPr="00DC55A1" w:rsidRDefault="004F5903" w:rsidP="00DC55A1">
      <w:pPr>
        <w:pStyle w:val="ListParagraph"/>
        <w:numPr>
          <w:ilvl w:val="0"/>
          <w:numId w:val="1"/>
        </w:numPr>
        <w:spacing w:line="276" w:lineRule="auto"/>
        <w:jc w:val="both"/>
        <w:rPr>
          <w:rStyle w:val="Strong"/>
          <w:rFonts w:cstheme="minorHAnsi"/>
          <w:color w:val="000000" w:themeColor="text1"/>
          <w:sz w:val="24"/>
          <w:szCs w:val="24"/>
        </w:rPr>
      </w:pPr>
      <w:r w:rsidRPr="00DC55A1">
        <w:rPr>
          <w:rStyle w:val="Strong"/>
          <w:rFonts w:cstheme="minorHAnsi"/>
          <w:b w:val="0"/>
          <w:bCs w:val="0"/>
          <w:color w:val="000000" w:themeColor="text1"/>
          <w:sz w:val="24"/>
          <w:szCs w:val="24"/>
          <w:bdr w:val="none" w:sz="0" w:space="0" w:color="auto" w:frame="1"/>
          <w:shd w:val="clear" w:color="auto" w:fill="FFFFFF"/>
        </w:rPr>
        <w:t>NAMs have been proven on many occasions to be safer for understanding human disease and assessing the safety and effectiveness of potential new drugs. Meanwhile, time, money and animal lives are still being wasted, with few breakthroughs and a huge amount of suffering.</w:t>
      </w:r>
    </w:p>
    <w:p w14:paraId="6CE495EA" w14:textId="77777777" w:rsidR="00C95902" w:rsidRPr="00DC55A1" w:rsidRDefault="00C95902" w:rsidP="00DC55A1">
      <w:pPr>
        <w:pStyle w:val="ListParagraph"/>
        <w:jc w:val="both"/>
        <w:rPr>
          <w:rFonts w:cstheme="minorHAnsi"/>
          <w:b/>
          <w:bCs/>
          <w:color w:val="000000" w:themeColor="text1"/>
          <w:sz w:val="24"/>
          <w:szCs w:val="24"/>
        </w:rPr>
      </w:pPr>
    </w:p>
    <w:p w14:paraId="61EAB570" w14:textId="4DE66ECE" w:rsidR="00E9295F" w:rsidRPr="00E9295F" w:rsidRDefault="00DC55A1" w:rsidP="00DC55A1">
      <w:pPr>
        <w:pStyle w:val="ListParagraph"/>
        <w:numPr>
          <w:ilvl w:val="0"/>
          <w:numId w:val="1"/>
        </w:numPr>
        <w:spacing w:line="276" w:lineRule="auto"/>
        <w:jc w:val="both"/>
        <w:rPr>
          <w:rFonts w:cstheme="minorHAnsi"/>
          <w:color w:val="000000" w:themeColor="text1"/>
          <w:sz w:val="24"/>
          <w:szCs w:val="24"/>
        </w:rPr>
      </w:pPr>
      <w:r w:rsidRPr="00DC55A1">
        <w:rPr>
          <w:rFonts w:cstheme="minorHAnsi"/>
          <w:color w:val="000000" w:themeColor="text1"/>
          <w:sz w:val="24"/>
          <w:szCs w:val="24"/>
        </w:rPr>
        <w:t xml:space="preserve">The Animals (Scientific Procedures) Act </w:t>
      </w:r>
      <w:r w:rsidR="00C95902" w:rsidRPr="00DC55A1">
        <w:rPr>
          <w:rFonts w:cstheme="minorHAnsi"/>
          <w:color w:val="000000" w:themeColor="text1"/>
          <w:sz w:val="24"/>
          <w:szCs w:val="24"/>
        </w:rPr>
        <w:t xml:space="preserve">1986, </w:t>
      </w:r>
      <w:r w:rsidRPr="00DC55A1">
        <w:rPr>
          <w:rFonts w:cstheme="minorHAnsi"/>
          <w:color w:val="000000" w:themeColor="text1"/>
          <w:sz w:val="24"/>
          <w:szCs w:val="24"/>
        </w:rPr>
        <w:t xml:space="preserve">(ASPA), is </w:t>
      </w:r>
      <w:r w:rsidR="00C95902" w:rsidRPr="00DC55A1">
        <w:rPr>
          <w:rFonts w:cstheme="minorHAnsi"/>
          <w:color w:val="000000" w:themeColor="text1"/>
          <w:sz w:val="24"/>
          <w:szCs w:val="24"/>
        </w:rPr>
        <w:t xml:space="preserve">the </w:t>
      </w:r>
      <w:r w:rsidR="00C95902" w:rsidRPr="00DC55A1">
        <w:rPr>
          <w:rFonts w:cstheme="minorHAnsi"/>
          <w:color w:val="000000" w:themeColor="text1"/>
          <w:sz w:val="24"/>
          <w:szCs w:val="24"/>
          <w:shd w:val="clear" w:color="auto" w:fill="FFFFFF"/>
        </w:rPr>
        <w:t xml:space="preserve">UK law to ‘protect’ laboratory animals, </w:t>
      </w:r>
      <w:r w:rsidRPr="00DC55A1">
        <w:rPr>
          <w:rFonts w:cstheme="minorHAnsi"/>
          <w:color w:val="000000" w:themeColor="text1"/>
          <w:sz w:val="24"/>
          <w:szCs w:val="24"/>
          <w:shd w:val="clear" w:color="auto" w:fill="FFFFFF"/>
        </w:rPr>
        <w:t xml:space="preserve">this </w:t>
      </w:r>
      <w:r w:rsidR="00C95902" w:rsidRPr="00DC55A1">
        <w:rPr>
          <w:rFonts w:cstheme="minorHAnsi"/>
          <w:color w:val="000000" w:themeColor="text1"/>
          <w:sz w:val="24"/>
          <w:szCs w:val="24"/>
          <w:shd w:val="clear" w:color="auto" w:fill="FFFFFF"/>
        </w:rPr>
        <w:t>enshrines the principles of the 3Rs (replacement, reduction and refinement). These principles were launched by a book published in 1959</w:t>
      </w:r>
      <w:r w:rsidR="00C95902" w:rsidRPr="00DC55A1">
        <w:rPr>
          <w:rStyle w:val="Strong"/>
          <w:rFonts w:cstheme="minorHAnsi"/>
          <w:color w:val="000000" w:themeColor="text1"/>
          <w:sz w:val="24"/>
          <w:szCs w:val="24"/>
          <w:bdr w:val="none" w:sz="0" w:space="0" w:color="auto" w:frame="1"/>
          <w:shd w:val="clear" w:color="auto" w:fill="FFFFFF"/>
        </w:rPr>
        <w:t>.</w:t>
      </w:r>
      <w:r w:rsidR="00E516DF" w:rsidRPr="00DC55A1">
        <w:rPr>
          <w:rStyle w:val="Strong"/>
          <w:rFonts w:cstheme="minorHAnsi"/>
          <w:color w:val="000000" w:themeColor="text1"/>
          <w:sz w:val="24"/>
          <w:szCs w:val="24"/>
          <w:bdr w:val="none" w:sz="0" w:space="0" w:color="auto" w:frame="1"/>
          <w:shd w:val="clear" w:color="auto" w:fill="FFFFFF"/>
        </w:rPr>
        <w:t xml:space="preserve"> </w:t>
      </w:r>
      <w:r w:rsidR="00E516DF" w:rsidRPr="00DC55A1">
        <w:rPr>
          <w:rStyle w:val="Strong"/>
          <w:rFonts w:cstheme="minorHAnsi"/>
          <w:b w:val="0"/>
          <w:bCs w:val="0"/>
          <w:color w:val="000000" w:themeColor="text1"/>
          <w:sz w:val="24"/>
          <w:szCs w:val="24"/>
          <w:bdr w:val="none" w:sz="0" w:space="0" w:color="auto" w:frame="1"/>
          <w:shd w:val="clear" w:color="auto" w:fill="FFFFFF"/>
        </w:rPr>
        <w:t>The assumption is that animal testing translates to humans yet the book itself acknowledged</w:t>
      </w:r>
      <w:r w:rsidR="00E516DF" w:rsidRPr="00DC55A1">
        <w:rPr>
          <w:rStyle w:val="Strong"/>
          <w:rFonts w:cstheme="minorHAnsi"/>
          <w:color w:val="000000" w:themeColor="text1"/>
          <w:sz w:val="24"/>
          <w:szCs w:val="24"/>
          <w:bdr w:val="none" w:sz="0" w:space="0" w:color="auto" w:frame="1"/>
          <w:shd w:val="clear" w:color="auto" w:fill="FFFFFF"/>
        </w:rPr>
        <w:t xml:space="preserve"> </w:t>
      </w:r>
      <w:r w:rsidR="00B435F5" w:rsidRPr="00DC55A1">
        <w:rPr>
          <w:rFonts w:cstheme="minorHAnsi"/>
          <w:color w:val="000000" w:themeColor="text1"/>
          <w:sz w:val="24"/>
          <w:szCs w:val="24"/>
          <w:shd w:val="clear" w:color="auto" w:fill="FFFFFF"/>
        </w:rPr>
        <w:t xml:space="preserve">the considerable impact of species differences and the ‘high fidelity fallacy’ of assuming that animal data will reliably translate to human biology due to relatively superficial anatomical, physiological and genetic similarities. Camp Beagle do not endorse the 3Rs. </w:t>
      </w:r>
      <w:r w:rsidR="00C22746" w:rsidRPr="00DC55A1">
        <w:rPr>
          <w:rFonts w:cstheme="minorHAnsi"/>
          <w:color w:val="000000" w:themeColor="text1"/>
          <w:sz w:val="24"/>
          <w:szCs w:val="24"/>
          <w:shd w:val="clear" w:color="auto" w:fill="FFFFFF"/>
        </w:rPr>
        <w:t>For a detailed critique of the 3Rs we suggest</w:t>
      </w:r>
      <w:r w:rsidR="00E9295F">
        <w:rPr>
          <w:rFonts w:cstheme="minorHAnsi"/>
          <w:color w:val="000000" w:themeColor="text1"/>
          <w:sz w:val="24"/>
          <w:szCs w:val="24"/>
          <w:shd w:val="clear" w:color="auto" w:fill="FFFFFF"/>
        </w:rPr>
        <w:t>:</w:t>
      </w:r>
    </w:p>
    <w:p w14:paraId="5EBF531E" w14:textId="358C2A09" w:rsidR="00C95902" w:rsidRPr="00DC55A1" w:rsidRDefault="00E9295F" w:rsidP="00E9295F">
      <w:pPr>
        <w:pStyle w:val="ListParagraph"/>
        <w:spacing w:line="276" w:lineRule="auto"/>
        <w:ind w:left="360"/>
        <w:jc w:val="both"/>
        <w:rPr>
          <w:rStyle w:val="Hyperlink"/>
          <w:rFonts w:cstheme="minorHAnsi"/>
          <w:color w:val="000000" w:themeColor="text1"/>
          <w:sz w:val="24"/>
          <w:szCs w:val="24"/>
          <w:u w:val="none"/>
        </w:rPr>
      </w:pPr>
      <w:hyperlink r:id="rId8" w:history="1">
        <w:r w:rsidRPr="00CF007D">
          <w:rPr>
            <w:rStyle w:val="Hyperlink"/>
            <w:rFonts w:cstheme="minorHAnsi"/>
            <w:sz w:val="24"/>
            <w:szCs w:val="24"/>
            <w:shd w:val="clear" w:color="auto" w:fill="FFFFFF"/>
          </w:rPr>
          <w:t>https://journals.sagepub.com/doi/10.1177/02611929241241187</w:t>
        </w:r>
      </w:hyperlink>
    </w:p>
    <w:p w14:paraId="43A40B80" w14:textId="77777777" w:rsidR="0013362D" w:rsidRPr="00DC55A1" w:rsidRDefault="0013362D" w:rsidP="00DC55A1">
      <w:pPr>
        <w:pStyle w:val="ListParagraph"/>
        <w:jc w:val="both"/>
        <w:rPr>
          <w:rFonts w:cstheme="minorHAnsi"/>
          <w:color w:val="000000" w:themeColor="text1"/>
          <w:sz w:val="24"/>
          <w:szCs w:val="24"/>
        </w:rPr>
      </w:pPr>
    </w:p>
    <w:p w14:paraId="5433B1C3" w14:textId="543D5984" w:rsidR="0013362D" w:rsidRDefault="0013362D" w:rsidP="00DC55A1">
      <w:pPr>
        <w:pStyle w:val="ListParagraph"/>
        <w:numPr>
          <w:ilvl w:val="0"/>
          <w:numId w:val="1"/>
        </w:numPr>
        <w:spacing w:line="276" w:lineRule="auto"/>
        <w:jc w:val="both"/>
        <w:rPr>
          <w:rFonts w:cstheme="minorHAnsi"/>
          <w:color w:val="000000" w:themeColor="text1"/>
          <w:sz w:val="24"/>
          <w:szCs w:val="24"/>
        </w:rPr>
      </w:pPr>
      <w:r w:rsidRPr="00DC55A1">
        <w:rPr>
          <w:rFonts w:cstheme="minorHAnsi"/>
          <w:color w:val="000000" w:themeColor="text1"/>
          <w:sz w:val="24"/>
          <w:szCs w:val="24"/>
        </w:rPr>
        <w:t xml:space="preserve">Laboratory animals are excluded from animal welfare and sentience Acts. This is why animal welfare organisations like the RSPCA cannot intervene. </w:t>
      </w:r>
      <w:r w:rsidR="00DC55A1" w:rsidRPr="00DC55A1">
        <w:rPr>
          <w:rFonts w:cstheme="minorHAnsi"/>
          <w:color w:val="000000" w:themeColor="text1"/>
          <w:sz w:val="24"/>
          <w:szCs w:val="24"/>
        </w:rPr>
        <w:t xml:space="preserve">It is only the regulators, the Animals in Science Regulatory Unit (ASRU), part of the Home Office, that have a right of access to MBR Acres. </w:t>
      </w:r>
      <w:r w:rsidR="00DC55A1" w:rsidRPr="00DC55A1">
        <w:rPr>
          <w:rFonts w:cstheme="minorHAnsi"/>
          <w:color w:val="1E1E1E"/>
          <w:sz w:val="24"/>
          <w:szCs w:val="24"/>
          <w:shd w:val="clear" w:color="auto" w:fill="F5F5F5"/>
        </w:rPr>
        <w:t>ASRU on average has around 20 Inspectors to oversee 2.76 (Home Office published statistics for 2022) million procedures a year along with another 1.81 million animals killed without use in regulated procedures (published figure for 2017)</w:t>
      </w:r>
      <w:r w:rsidR="00DC55A1" w:rsidRPr="00DC55A1">
        <w:rPr>
          <w:rFonts w:cstheme="minorHAnsi"/>
          <w:color w:val="000000" w:themeColor="text1"/>
          <w:sz w:val="24"/>
          <w:szCs w:val="24"/>
        </w:rPr>
        <w:t>.</w:t>
      </w:r>
    </w:p>
    <w:p w14:paraId="744A1865" w14:textId="77777777" w:rsidR="00DC55A1" w:rsidRPr="00DC55A1" w:rsidRDefault="00DC55A1" w:rsidP="00DC55A1">
      <w:pPr>
        <w:pStyle w:val="ListParagraph"/>
        <w:rPr>
          <w:rFonts w:cstheme="minorHAnsi"/>
          <w:color w:val="000000" w:themeColor="text1"/>
          <w:sz w:val="24"/>
          <w:szCs w:val="24"/>
        </w:rPr>
      </w:pPr>
    </w:p>
    <w:p w14:paraId="20BFAC84" w14:textId="77777777" w:rsidR="00DC55A1" w:rsidRDefault="00DC55A1" w:rsidP="00DC55A1">
      <w:pPr>
        <w:spacing w:line="276" w:lineRule="auto"/>
        <w:jc w:val="both"/>
        <w:rPr>
          <w:rFonts w:cstheme="minorHAnsi"/>
          <w:color w:val="000000" w:themeColor="text1"/>
          <w:sz w:val="24"/>
          <w:szCs w:val="24"/>
        </w:rPr>
      </w:pPr>
    </w:p>
    <w:p w14:paraId="5CAE4D85" w14:textId="77777777" w:rsidR="00DC55A1" w:rsidRDefault="00DC55A1" w:rsidP="00DC55A1">
      <w:pPr>
        <w:spacing w:line="276" w:lineRule="auto"/>
        <w:jc w:val="both"/>
        <w:rPr>
          <w:rFonts w:cstheme="minorHAnsi"/>
          <w:color w:val="000000" w:themeColor="text1"/>
          <w:sz w:val="24"/>
          <w:szCs w:val="24"/>
        </w:rPr>
      </w:pPr>
    </w:p>
    <w:p w14:paraId="3C337820" w14:textId="77777777" w:rsidR="00DC55A1" w:rsidRDefault="00DC55A1" w:rsidP="00DC55A1">
      <w:pPr>
        <w:spacing w:line="276" w:lineRule="auto"/>
        <w:jc w:val="both"/>
        <w:rPr>
          <w:rFonts w:cstheme="minorHAnsi"/>
          <w:color w:val="000000" w:themeColor="text1"/>
          <w:sz w:val="24"/>
          <w:szCs w:val="24"/>
        </w:rPr>
      </w:pPr>
    </w:p>
    <w:p w14:paraId="5807526E" w14:textId="77777777" w:rsidR="00DC55A1" w:rsidRPr="00DC55A1" w:rsidRDefault="00DC55A1" w:rsidP="00DC55A1">
      <w:pPr>
        <w:spacing w:line="276" w:lineRule="auto"/>
        <w:jc w:val="both"/>
        <w:rPr>
          <w:rFonts w:cstheme="minorHAnsi"/>
          <w:color w:val="000000" w:themeColor="text1"/>
          <w:sz w:val="24"/>
          <w:szCs w:val="24"/>
        </w:rPr>
      </w:pPr>
    </w:p>
    <w:p w14:paraId="64FF7422" w14:textId="77777777" w:rsidR="0013362D" w:rsidRPr="00DC55A1" w:rsidRDefault="0013362D" w:rsidP="00DC55A1">
      <w:pPr>
        <w:pStyle w:val="ListParagraph"/>
        <w:jc w:val="both"/>
        <w:rPr>
          <w:rFonts w:cstheme="minorHAnsi"/>
          <w:color w:val="000000" w:themeColor="text1"/>
          <w:sz w:val="24"/>
          <w:szCs w:val="24"/>
        </w:rPr>
      </w:pPr>
    </w:p>
    <w:p w14:paraId="53692A7C" w14:textId="77777777" w:rsidR="0013362D" w:rsidRPr="00DC55A1" w:rsidRDefault="0013362D" w:rsidP="00DC55A1">
      <w:pPr>
        <w:pStyle w:val="ListParagraph"/>
        <w:numPr>
          <w:ilvl w:val="0"/>
          <w:numId w:val="1"/>
        </w:numPr>
        <w:spacing w:line="276" w:lineRule="auto"/>
        <w:jc w:val="both"/>
        <w:rPr>
          <w:rFonts w:cstheme="minorHAnsi"/>
          <w:color w:val="000000" w:themeColor="text1"/>
          <w:sz w:val="24"/>
          <w:szCs w:val="24"/>
        </w:rPr>
      </w:pPr>
      <w:r w:rsidRPr="00DC55A1">
        <w:rPr>
          <w:rFonts w:cstheme="minorHAnsi"/>
          <w:color w:val="000000" w:themeColor="text1"/>
          <w:sz w:val="24"/>
          <w:szCs w:val="24"/>
        </w:rPr>
        <w:lastRenderedPageBreak/>
        <w:t>The Home Office publishes:</w:t>
      </w:r>
    </w:p>
    <w:p w14:paraId="264993C6" w14:textId="77777777" w:rsidR="0013362D" w:rsidRPr="00DC55A1" w:rsidRDefault="0013362D" w:rsidP="00DC55A1">
      <w:pPr>
        <w:pStyle w:val="ListParagraph"/>
        <w:numPr>
          <w:ilvl w:val="0"/>
          <w:numId w:val="4"/>
        </w:numPr>
        <w:spacing w:line="276" w:lineRule="auto"/>
        <w:jc w:val="both"/>
        <w:rPr>
          <w:rFonts w:cstheme="minorHAnsi"/>
          <w:color w:val="000000" w:themeColor="text1"/>
          <w:sz w:val="24"/>
          <w:szCs w:val="24"/>
        </w:rPr>
      </w:pPr>
      <w:r w:rsidRPr="00DC55A1">
        <w:rPr>
          <w:rFonts w:cstheme="minorHAnsi"/>
          <w:color w:val="000000" w:themeColor="text1"/>
          <w:sz w:val="24"/>
          <w:szCs w:val="24"/>
        </w:rPr>
        <w:t xml:space="preserve">Guidance on the operation of ASPA </w:t>
      </w:r>
    </w:p>
    <w:p w14:paraId="0614BF67" w14:textId="00AD1AA8" w:rsidR="0013362D" w:rsidRPr="00DC55A1" w:rsidRDefault="0013362D" w:rsidP="00DC55A1">
      <w:pPr>
        <w:pStyle w:val="ListParagraph"/>
        <w:spacing w:line="276" w:lineRule="auto"/>
        <w:ind w:left="1080"/>
        <w:jc w:val="both"/>
        <w:rPr>
          <w:rFonts w:cstheme="minorHAnsi"/>
          <w:color w:val="000000" w:themeColor="text1"/>
          <w:sz w:val="24"/>
          <w:szCs w:val="24"/>
        </w:rPr>
      </w:pPr>
      <w:hyperlink r:id="rId9" w:history="1">
        <w:r w:rsidRPr="00DC55A1">
          <w:rPr>
            <w:rStyle w:val="Hyperlink"/>
            <w:rFonts w:cstheme="minorHAnsi"/>
            <w:sz w:val="24"/>
            <w:szCs w:val="24"/>
          </w:rPr>
          <w:t>https://www.gov.uk/guidance/guidance-on-the-operation-of-the-animals-scientific-procedures-act-1986</w:t>
        </w:r>
      </w:hyperlink>
      <w:r w:rsidRPr="00DC55A1">
        <w:rPr>
          <w:rFonts w:cstheme="minorHAnsi"/>
          <w:color w:val="000000" w:themeColor="text1"/>
          <w:sz w:val="24"/>
          <w:szCs w:val="24"/>
        </w:rPr>
        <w:t xml:space="preserve"> </w:t>
      </w:r>
    </w:p>
    <w:p w14:paraId="7D8392CD" w14:textId="3F8AEF42" w:rsidR="0013362D" w:rsidRPr="00DC55A1" w:rsidRDefault="0013362D" w:rsidP="00DC55A1">
      <w:pPr>
        <w:pStyle w:val="ListParagraph"/>
        <w:numPr>
          <w:ilvl w:val="0"/>
          <w:numId w:val="4"/>
        </w:numPr>
        <w:spacing w:line="276" w:lineRule="auto"/>
        <w:jc w:val="both"/>
        <w:rPr>
          <w:rFonts w:cstheme="minorHAnsi"/>
          <w:color w:val="000000" w:themeColor="text1"/>
          <w:sz w:val="24"/>
          <w:szCs w:val="24"/>
        </w:rPr>
      </w:pPr>
      <w:r w:rsidRPr="00DC55A1">
        <w:rPr>
          <w:rFonts w:cstheme="minorHAnsi"/>
          <w:color w:val="000000" w:themeColor="text1"/>
          <w:sz w:val="24"/>
          <w:szCs w:val="24"/>
        </w:rPr>
        <w:t xml:space="preserve">A Code Of Practice for the Housing And Care of Animals bred, supplied and used for scientific purposes </w:t>
      </w:r>
    </w:p>
    <w:p w14:paraId="5D238FF9" w14:textId="42795BC0" w:rsidR="0013362D" w:rsidRPr="00DC55A1" w:rsidRDefault="00BA1139" w:rsidP="00DC55A1">
      <w:pPr>
        <w:pStyle w:val="ListParagraph"/>
        <w:spacing w:line="276" w:lineRule="auto"/>
        <w:ind w:left="1080"/>
        <w:jc w:val="both"/>
        <w:rPr>
          <w:rFonts w:cstheme="minorHAnsi"/>
          <w:color w:val="000000" w:themeColor="text1"/>
          <w:sz w:val="24"/>
          <w:szCs w:val="24"/>
        </w:rPr>
      </w:pPr>
      <w:hyperlink r:id="rId10" w:history="1">
        <w:r w:rsidRPr="00DC55A1">
          <w:rPr>
            <w:rStyle w:val="Hyperlink"/>
            <w:rFonts w:cstheme="minorHAnsi"/>
            <w:sz w:val="24"/>
            <w:szCs w:val="24"/>
          </w:rPr>
          <w:t>https://www.gov.uk/government/publications/code-of-practice-for-the-housing-and-care-of-animals-bred-supplied-or-used-for-scientific-purposes</w:t>
        </w:r>
      </w:hyperlink>
    </w:p>
    <w:p w14:paraId="294F85B2" w14:textId="4D0B5A20" w:rsidR="00BA1139" w:rsidRPr="00DC55A1" w:rsidRDefault="00BA1139" w:rsidP="00DC55A1">
      <w:pPr>
        <w:pStyle w:val="ListParagraph"/>
        <w:numPr>
          <w:ilvl w:val="0"/>
          <w:numId w:val="4"/>
        </w:numPr>
        <w:spacing w:line="276" w:lineRule="auto"/>
        <w:jc w:val="both"/>
        <w:rPr>
          <w:rFonts w:cstheme="minorHAnsi"/>
          <w:color w:val="000000" w:themeColor="text1"/>
          <w:sz w:val="24"/>
          <w:szCs w:val="24"/>
        </w:rPr>
      </w:pPr>
      <w:r w:rsidRPr="00DC55A1">
        <w:rPr>
          <w:rFonts w:cstheme="minorHAnsi"/>
          <w:color w:val="000000" w:themeColor="text1"/>
          <w:sz w:val="24"/>
          <w:szCs w:val="24"/>
        </w:rPr>
        <w:t>Advice Notes including</w:t>
      </w:r>
    </w:p>
    <w:p w14:paraId="1430641B" w14:textId="3AB5B082" w:rsidR="00BA1139" w:rsidRPr="00DC55A1" w:rsidRDefault="00BA1139" w:rsidP="00DC55A1">
      <w:pPr>
        <w:pStyle w:val="ListParagraph"/>
        <w:spacing w:line="276" w:lineRule="auto"/>
        <w:ind w:left="1080"/>
        <w:jc w:val="both"/>
        <w:rPr>
          <w:rFonts w:cstheme="minorHAnsi"/>
          <w:color w:val="000000" w:themeColor="text1"/>
          <w:sz w:val="24"/>
          <w:szCs w:val="24"/>
        </w:rPr>
      </w:pPr>
      <w:hyperlink r:id="rId11" w:history="1">
        <w:r w:rsidRPr="00DC55A1">
          <w:rPr>
            <w:rStyle w:val="Hyperlink"/>
            <w:rFonts w:cstheme="minorHAnsi"/>
            <w:sz w:val="24"/>
            <w:szCs w:val="24"/>
          </w:rPr>
          <w:t>https://assets.publishing.service.gov.uk/media/5a82e2ab40f0b6230269d373/Advice_Note_Rehoming_setting_free.pdf</w:t>
        </w:r>
      </w:hyperlink>
    </w:p>
    <w:p w14:paraId="34F8BFFC" w14:textId="77777777" w:rsidR="0013362D" w:rsidRPr="00035520" w:rsidRDefault="0013362D" w:rsidP="00035520">
      <w:pPr>
        <w:jc w:val="both"/>
        <w:rPr>
          <w:rFonts w:cstheme="minorHAnsi"/>
          <w:color w:val="000000" w:themeColor="text1"/>
          <w:sz w:val="24"/>
          <w:szCs w:val="24"/>
        </w:rPr>
      </w:pPr>
    </w:p>
    <w:p w14:paraId="16D5BB75" w14:textId="228AD17C" w:rsidR="00035520" w:rsidRDefault="00035520" w:rsidP="00DC55A1">
      <w:pPr>
        <w:spacing w:after="0" w:line="256" w:lineRule="auto"/>
        <w:contextualSpacing/>
        <w:jc w:val="both"/>
        <w:rPr>
          <w:rFonts w:eastAsia="Calibri" w:cstheme="minorHAnsi"/>
          <w:b/>
          <w:bCs/>
          <w:kern w:val="0"/>
          <w:sz w:val="24"/>
          <w:szCs w:val="24"/>
          <w14:ligatures w14:val="none"/>
        </w:rPr>
      </w:pPr>
      <w:r>
        <w:rPr>
          <w:rFonts w:eastAsia="Calibri" w:cstheme="minorHAnsi"/>
          <w:b/>
          <w:bCs/>
          <w:kern w:val="0"/>
          <w:sz w:val="24"/>
          <w:szCs w:val="24"/>
          <w14:ligatures w14:val="none"/>
        </w:rPr>
        <w:t>2024</w:t>
      </w:r>
    </w:p>
    <w:p w14:paraId="6F95D3A7" w14:textId="437E639B" w:rsidR="00035520" w:rsidRPr="00DC55A1" w:rsidRDefault="00035520" w:rsidP="00035520">
      <w:pPr>
        <w:spacing w:after="0" w:line="256" w:lineRule="auto"/>
        <w:contextualSpacing/>
        <w:jc w:val="both"/>
        <w:rPr>
          <w:rFonts w:eastAsia="Calibri" w:cstheme="minorHAnsi"/>
          <w:kern w:val="0"/>
          <w:sz w:val="24"/>
          <w:szCs w:val="24"/>
          <w14:ligatures w14:val="none"/>
        </w:rPr>
      </w:pPr>
      <w:r>
        <w:rPr>
          <w:rFonts w:eastAsia="Calibri" w:cstheme="minorHAnsi"/>
          <w:kern w:val="0"/>
          <w:sz w:val="24"/>
          <w:szCs w:val="24"/>
          <w14:ligatures w14:val="none"/>
        </w:rPr>
        <w:t>1651</w:t>
      </w:r>
      <w:r w:rsidRPr="00DC55A1">
        <w:rPr>
          <w:rFonts w:eastAsia="Calibri" w:cstheme="minorHAnsi"/>
          <w:kern w:val="0"/>
          <w:sz w:val="24"/>
          <w:szCs w:val="24"/>
          <w14:ligatures w14:val="none"/>
        </w:rPr>
        <w:t xml:space="preserve"> dogs were used of which </w:t>
      </w:r>
      <w:r>
        <w:rPr>
          <w:rFonts w:eastAsia="Calibri" w:cstheme="minorHAnsi"/>
          <w:kern w:val="0"/>
          <w:sz w:val="24"/>
          <w:szCs w:val="24"/>
          <w14:ligatures w14:val="none"/>
        </w:rPr>
        <w:t>1593</w:t>
      </w:r>
      <w:r w:rsidRPr="00DC55A1">
        <w:rPr>
          <w:rFonts w:eastAsia="Calibri" w:cstheme="minorHAnsi"/>
          <w:kern w:val="0"/>
          <w:sz w:val="24"/>
          <w:szCs w:val="24"/>
          <w14:ligatures w14:val="none"/>
        </w:rPr>
        <w:t xml:space="preserve"> were beagles. There were </w:t>
      </w:r>
      <w:r>
        <w:rPr>
          <w:rFonts w:eastAsia="Calibri" w:cstheme="minorHAnsi"/>
          <w:kern w:val="0"/>
          <w:sz w:val="24"/>
          <w:szCs w:val="24"/>
          <w14:ligatures w14:val="none"/>
        </w:rPr>
        <w:t>2646</w:t>
      </w:r>
      <w:r w:rsidRPr="00DC55A1">
        <w:rPr>
          <w:rFonts w:eastAsia="Calibri" w:cstheme="minorHAnsi"/>
          <w:kern w:val="0"/>
          <w:sz w:val="24"/>
          <w:szCs w:val="24"/>
          <w14:ligatures w14:val="none"/>
        </w:rPr>
        <w:t xml:space="preserve"> procedures on these dogs.</w:t>
      </w:r>
    </w:p>
    <w:p w14:paraId="61E5A39A" w14:textId="6B23EBD7" w:rsidR="00035520" w:rsidRPr="00DC55A1" w:rsidRDefault="00035520" w:rsidP="00035520">
      <w:pPr>
        <w:spacing w:after="0" w:line="256" w:lineRule="auto"/>
        <w:contextualSpacing/>
        <w:jc w:val="both"/>
        <w:rPr>
          <w:rFonts w:eastAsia="Calibri" w:cstheme="minorHAnsi"/>
          <w:kern w:val="0"/>
          <w:sz w:val="24"/>
          <w:szCs w:val="24"/>
          <w14:ligatures w14:val="none"/>
        </w:rPr>
      </w:pPr>
      <w:r>
        <w:rPr>
          <w:rFonts w:eastAsia="Calibri" w:cstheme="minorHAnsi"/>
          <w:kern w:val="0"/>
          <w:sz w:val="24"/>
          <w:szCs w:val="24"/>
          <w14:ligatures w14:val="none"/>
        </w:rPr>
        <w:t>1546</w:t>
      </w:r>
      <w:r w:rsidRPr="00DC55A1">
        <w:rPr>
          <w:rFonts w:eastAsia="Calibri" w:cstheme="minorHAnsi"/>
          <w:kern w:val="0"/>
          <w:sz w:val="24"/>
          <w:szCs w:val="24"/>
          <w14:ligatures w14:val="none"/>
        </w:rPr>
        <w:t xml:space="preserve"> procedures were toxicity for human pharmaceutical, </w:t>
      </w:r>
      <w:r>
        <w:rPr>
          <w:rFonts w:eastAsia="Calibri" w:cstheme="minorHAnsi"/>
          <w:kern w:val="0"/>
          <w:sz w:val="24"/>
          <w:szCs w:val="24"/>
          <w14:ligatures w14:val="none"/>
        </w:rPr>
        <w:t>188</w:t>
      </w:r>
      <w:r w:rsidRPr="00DC55A1">
        <w:rPr>
          <w:rFonts w:eastAsia="Calibri" w:cstheme="minorHAnsi"/>
          <w:kern w:val="0"/>
          <w:sz w:val="24"/>
          <w:szCs w:val="24"/>
          <w14:ligatures w14:val="none"/>
        </w:rPr>
        <w:t xml:space="preserve"> for agrichemicals and </w:t>
      </w:r>
      <w:r>
        <w:rPr>
          <w:rFonts w:eastAsia="Calibri" w:cstheme="minorHAnsi"/>
          <w:kern w:val="0"/>
          <w:sz w:val="24"/>
          <w:szCs w:val="24"/>
          <w14:ligatures w14:val="none"/>
        </w:rPr>
        <w:t>138</w:t>
      </w:r>
      <w:r w:rsidRPr="00DC55A1">
        <w:rPr>
          <w:rFonts w:eastAsia="Calibri" w:cstheme="minorHAnsi"/>
          <w:kern w:val="0"/>
          <w:sz w:val="24"/>
          <w:szCs w:val="24"/>
          <w14:ligatures w14:val="none"/>
        </w:rPr>
        <w:t xml:space="preserve"> for veterinary products. </w:t>
      </w:r>
    </w:p>
    <w:p w14:paraId="3616D5B3" w14:textId="77777777" w:rsidR="00035520" w:rsidRDefault="00035520" w:rsidP="00DC55A1">
      <w:pPr>
        <w:spacing w:after="0" w:line="256" w:lineRule="auto"/>
        <w:contextualSpacing/>
        <w:jc w:val="both"/>
        <w:rPr>
          <w:rFonts w:eastAsia="Calibri" w:cstheme="minorHAnsi"/>
          <w:b/>
          <w:bCs/>
          <w:kern w:val="0"/>
          <w:sz w:val="24"/>
          <w:szCs w:val="24"/>
          <w14:ligatures w14:val="none"/>
        </w:rPr>
      </w:pPr>
    </w:p>
    <w:p w14:paraId="0A93DA11" w14:textId="5F114F2A" w:rsidR="00E9295F" w:rsidRDefault="00E9295F" w:rsidP="00DC55A1">
      <w:pPr>
        <w:spacing w:after="0" w:line="256" w:lineRule="auto"/>
        <w:contextualSpacing/>
        <w:jc w:val="both"/>
        <w:rPr>
          <w:rFonts w:eastAsia="Calibri" w:cstheme="minorHAnsi"/>
          <w:b/>
          <w:bCs/>
          <w:kern w:val="0"/>
          <w:sz w:val="24"/>
          <w:szCs w:val="24"/>
          <w14:ligatures w14:val="none"/>
        </w:rPr>
      </w:pPr>
      <w:r>
        <w:rPr>
          <w:rFonts w:eastAsia="Calibri" w:cstheme="minorHAnsi"/>
          <w:b/>
          <w:bCs/>
          <w:kern w:val="0"/>
          <w:sz w:val="24"/>
          <w:szCs w:val="24"/>
          <w14:ligatures w14:val="none"/>
        </w:rPr>
        <w:t>2023</w:t>
      </w:r>
    </w:p>
    <w:p w14:paraId="1692AAAC" w14:textId="45691B28" w:rsidR="00E9295F" w:rsidRPr="00DC55A1" w:rsidRDefault="00E9295F" w:rsidP="00E9295F">
      <w:p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2</w:t>
      </w:r>
      <w:r>
        <w:rPr>
          <w:rFonts w:eastAsia="Calibri" w:cstheme="minorHAnsi"/>
          <w:kern w:val="0"/>
          <w:sz w:val="24"/>
          <w:szCs w:val="24"/>
          <w14:ligatures w14:val="none"/>
        </w:rPr>
        <w:t>456</w:t>
      </w:r>
      <w:r w:rsidRPr="00DC55A1">
        <w:rPr>
          <w:rFonts w:eastAsia="Calibri" w:cstheme="minorHAnsi"/>
          <w:kern w:val="0"/>
          <w:sz w:val="24"/>
          <w:szCs w:val="24"/>
          <w14:ligatures w14:val="none"/>
        </w:rPr>
        <w:t xml:space="preserve"> dogs were used of which </w:t>
      </w:r>
      <w:r>
        <w:rPr>
          <w:rFonts w:eastAsia="Calibri" w:cstheme="minorHAnsi"/>
          <w:kern w:val="0"/>
          <w:sz w:val="24"/>
          <w:szCs w:val="24"/>
          <w14:ligatures w14:val="none"/>
        </w:rPr>
        <w:t>2371</w:t>
      </w:r>
      <w:r w:rsidRPr="00DC55A1">
        <w:rPr>
          <w:rFonts w:eastAsia="Calibri" w:cstheme="minorHAnsi"/>
          <w:kern w:val="0"/>
          <w:sz w:val="24"/>
          <w:szCs w:val="24"/>
          <w14:ligatures w14:val="none"/>
        </w:rPr>
        <w:t xml:space="preserve"> were beagles. There were </w:t>
      </w:r>
      <w:r>
        <w:rPr>
          <w:rFonts w:eastAsia="Calibri" w:cstheme="minorHAnsi"/>
          <w:kern w:val="0"/>
          <w:sz w:val="24"/>
          <w:szCs w:val="24"/>
          <w14:ligatures w14:val="none"/>
        </w:rPr>
        <w:t>3749</w:t>
      </w:r>
      <w:r w:rsidRPr="00DC55A1">
        <w:rPr>
          <w:rFonts w:eastAsia="Calibri" w:cstheme="minorHAnsi"/>
          <w:kern w:val="0"/>
          <w:sz w:val="24"/>
          <w:szCs w:val="24"/>
          <w14:ligatures w14:val="none"/>
        </w:rPr>
        <w:t xml:space="preserve"> procedures on these dogs.</w:t>
      </w:r>
    </w:p>
    <w:p w14:paraId="13AA47BA" w14:textId="2F61B30F" w:rsidR="00E9295F" w:rsidRPr="00DC55A1" w:rsidRDefault="00E9295F" w:rsidP="00E9295F">
      <w:p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2</w:t>
      </w:r>
      <w:r>
        <w:rPr>
          <w:rFonts w:eastAsia="Calibri" w:cstheme="minorHAnsi"/>
          <w:kern w:val="0"/>
          <w:sz w:val="24"/>
          <w:szCs w:val="24"/>
          <w14:ligatures w14:val="none"/>
        </w:rPr>
        <w:t>275</w:t>
      </w:r>
      <w:r w:rsidRPr="00DC55A1">
        <w:rPr>
          <w:rFonts w:eastAsia="Calibri" w:cstheme="minorHAnsi"/>
          <w:kern w:val="0"/>
          <w:sz w:val="24"/>
          <w:szCs w:val="24"/>
          <w14:ligatures w14:val="none"/>
        </w:rPr>
        <w:t xml:space="preserve"> procedures were toxicity for human pharmaceutical, </w:t>
      </w:r>
      <w:r w:rsidR="00035520">
        <w:rPr>
          <w:rFonts w:eastAsia="Calibri" w:cstheme="minorHAnsi"/>
          <w:kern w:val="0"/>
          <w:sz w:val="24"/>
          <w:szCs w:val="24"/>
          <w14:ligatures w14:val="none"/>
        </w:rPr>
        <w:t>205</w:t>
      </w:r>
      <w:r w:rsidRPr="00DC55A1">
        <w:rPr>
          <w:rFonts w:eastAsia="Calibri" w:cstheme="minorHAnsi"/>
          <w:kern w:val="0"/>
          <w:sz w:val="24"/>
          <w:szCs w:val="24"/>
          <w14:ligatures w14:val="none"/>
        </w:rPr>
        <w:t xml:space="preserve"> for agrichemicals and </w:t>
      </w:r>
      <w:r>
        <w:rPr>
          <w:rFonts w:eastAsia="Calibri" w:cstheme="minorHAnsi"/>
          <w:kern w:val="0"/>
          <w:sz w:val="24"/>
          <w:szCs w:val="24"/>
          <w14:ligatures w14:val="none"/>
        </w:rPr>
        <w:t>111</w:t>
      </w:r>
      <w:r w:rsidRPr="00DC55A1">
        <w:rPr>
          <w:rFonts w:eastAsia="Calibri" w:cstheme="minorHAnsi"/>
          <w:kern w:val="0"/>
          <w:sz w:val="24"/>
          <w:szCs w:val="24"/>
          <w14:ligatures w14:val="none"/>
        </w:rPr>
        <w:t xml:space="preserve"> for veterinary products. </w:t>
      </w:r>
    </w:p>
    <w:p w14:paraId="58ED4AA0" w14:textId="77777777" w:rsidR="00E9295F" w:rsidRDefault="00E9295F" w:rsidP="00DC55A1">
      <w:pPr>
        <w:spacing w:after="0" w:line="256" w:lineRule="auto"/>
        <w:contextualSpacing/>
        <w:jc w:val="both"/>
        <w:rPr>
          <w:rFonts w:eastAsia="Calibri" w:cstheme="minorHAnsi"/>
          <w:b/>
          <w:bCs/>
          <w:kern w:val="0"/>
          <w:sz w:val="24"/>
          <w:szCs w:val="24"/>
          <w14:ligatures w14:val="none"/>
        </w:rPr>
      </w:pPr>
    </w:p>
    <w:p w14:paraId="2A66E120" w14:textId="5F36EB49" w:rsidR="00F63211" w:rsidRPr="00DC55A1" w:rsidRDefault="00F878FA" w:rsidP="00DC55A1">
      <w:pPr>
        <w:spacing w:after="0" w:line="256" w:lineRule="auto"/>
        <w:contextualSpacing/>
        <w:jc w:val="both"/>
        <w:rPr>
          <w:rFonts w:eastAsia="Calibri" w:cstheme="minorHAnsi"/>
          <w:b/>
          <w:bCs/>
          <w:kern w:val="0"/>
          <w:sz w:val="24"/>
          <w:szCs w:val="24"/>
          <w14:ligatures w14:val="none"/>
        </w:rPr>
      </w:pPr>
      <w:r w:rsidRPr="00DC55A1">
        <w:rPr>
          <w:rFonts w:eastAsia="Calibri" w:cstheme="minorHAnsi"/>
          <w:b/>
          <w:bCs/>
          <w:kern w:val="0"/>
          <w:sz w:val="24"/>
          <w:szCs w:val="24"/>
          <w14:ligatures w14:val="none"/>
        </w:rPr>
        <w:t xml:space="preserve">2022 </w:t>
      </w:r>
    </w:p>
    <w:p w14:paraId="6462F376" w14:textId="2F091AD8" w:rsidR="00F878FA" w:rsidRPr="00DC55A1" w:rsidRDefault="00F878FA" w:rsidP="00DC55A1">
      <w:p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2683 dogs </w:t>
      </w:r>
      <w:r w:rsidR="005419C8" w:rsidRPr="00DC55A1">
        <w:rPr>
          <w:rFonts w:eastAsia="Calibri" w:cstheme="minorHAnsi"/>
          <w:kern w:val="0"/>
          <w:sz w:val="24"/>
          <w:szCs w:val="24"/>
          <w14:ligatures w14:val="none"/>
        </w:rPr>
        <w:t xml:space="preserve">were </w:t>
      </w:r>
      <w:r w:rsidRPr="00DC55A1">
        <w:rPr>
          <w:rFonts w:eastAsia="Calibri" w:cstheme="minorHAnsi"/>
          <w:kern w:val="0"/>
          <w:sz w:val="24"/>
          <w:szCs w:val="24"/>
          <w14:ligatures w14:val="none"/>
        </w:rPr>
        <w:t>used of which 2655 were beagles. There were 4122 procedures on these dogs.</w:t>
      </w:r>
    </w:p>
    <w:p w14:paraId="4D9DFB1E" w14:textId="43EB29AA" w:rsidR="00F878FA" w:rsidRPr="00DC55A1" w:rsidRDefault="00F878FA" w:rsidP="00DC55A1">
      <w:pPr>
        <w:spacing w:after="0" w:line="256" w:lineRule="auto"/>
        <w:contextualSpacing/>
        <w:jc w:val="both"/>
        <w:rPr>
          <w:rFonts w:eastAsia="Calibri" w:cstheme="minorHAnsi"/>
          <w:kern w:val="0"/>
          <w:sz w:val="24"/>
          <w:szCs w:val="24"/>
          <w14:ligatures w14:val="none"/>
        </w:rPr>
      </w:pPr>
      <w:r w:rsidRPr="00DC55A1">
        <w:rPr>
          <w:rFonts w:eastAsia="Calibri" w:cstheme="minorHAnsi"/>
          <w:kern w:val="0"/>
          <w:sz w:val="24"/>
          <w:szCs w:val="24"/>
          <w14:ligatures w14:val="none"/>
        </w:rPr>
        <w:t xml:space="preserve">2483 procedures were toxicity for human pharmaceutical, 195 for agrichemicals and 206 for veterinary products. </w:t>
      </w:r>
    </w:p>
    <w:p w14:paraId="27C0819E" w14:textId="77777777" w:rsidR="00944A9C" w:rsidRPr="00543298" w:rsidRDefault="00944A9C" w:rsidP="00F878FA">
      <w:pPr>
        <w:spacing w:after="0" w:line="256" w:lineRule="auto"/>
        <w:contextualSpacing/>
        <w:rPr>
          <w:rFonts w:ascii="Calibri" w:eastAsia="Calibri" w:hAnsi="Calibri" w:cs="Calibri"/>
          <w:kern w:val="0"/>
          <w:sz w:val="24"/>
          <w:szCs w:val="24"/>
          <w14:ligatures w14:val="none"/>
        </w:rPr>
      </w:pPr>
    </w:p>
    <w:sectPr w:rsidR="00944A9C" w:rsidRPr="00543298" w:rsidSect="001540B4">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B2DC" w14:textId="77777777" w:rsidR="00DE4832" w:rsidRDefault="00DE4832">
      <w:pPr>
        <w:spacing w:after="0" w:line="240" w:lineRule="auto"/>
      </w:pPr>
      <w:r>
        <w:separator/>
      </w:r>
    </w:p>
  </w:endnote>
  <w:endnote w:type="continuationSeparator" w:id="0">
    <w:p w14:paraId="6C8237E7" w14:textId="77777777" w:rsidR="00DE4832" w:rsidRDefault="00DE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50" w14:textId="77777777" w:rsidR="00B553C1" w:rsidRPr="00844519" w:rsidRDefault="009F53DF" w:rsidP="005F1E0E">
    <w:pPr>
      <w:pStyle w:val="Footer"/>
      <w:jc w:val="right"/>
      <w:rPr>
        <w:rFonts w:ascii="Times New Roman" w:hAnsi="Times New Roman"/>
        <w:color w:val="808080"/>
      </w:rPr>
    </w:pPr>
    <w:r w:rsidRPr="00844519">
      <w:rPr>
        <w:rFonts w:ascii="Times New Roman" w:hAnsi="Times New Roman"/>
        <w:color w:val="808080"/>
      </w:rPr>
      <w:t>____________________________________________________________________________________</w:t>
    </w:r>
  </w:p>
  <w:p w14:paraId="476CC595" w14:textId="77777777" w:rsidR="00B553C1" w:rsidRDefault="00B553C1" w:rsidP="005F1E0E">
    <w:pPr>
      <w:pStyle w:val="Footer"/>
      <w:jc w:val="right"/>
      <w:rPr>
        <w:rFonts w:ascii="Times New Roman" w:hAnsi="Times New Roman"/>
      </w:rPr>
    </w:pPr>
  </w:p>
  <w:p w14:paraId="32E4BD2C" w14:textId="77777777" w:rsidR="00B553C1" w:rsidRPr="00844519" w:rsidRDefault="009F53DF" w:rsidP="005F1E0E">
    <w:pPr>
      <w:pStyle w:val="Footer"/>
      <w:jc w:val="right"/>
      <w:rPr>
        <w:color w:val="808080"/>
      </w:rPr>
    </w:pPr>
    <w:r w:rsidRPr="00844519">
      <w:rPr>
        <w:rFonts w:ascii="Times New Roman" w:hAnsi="Times New Roman"/>
        <w:color w:val="808080"/>
      </w:rPr>
      <w:t xml:space="preserve">Page </w:t>
    </w:r>
    <w:r w:rsidRPr="00844519">
      <w:rPr>
        <w:rFonts w:ascii="Times New Roman" w:hAnsi="Times New Roman"/>
        <w:color w:val="808080"/>
      </w:rPr>
      <w:fldChar w:fldCharType="begin"/>
    </w:r>
    <w:r w:rsidRPr="00844519">
      <w:rPr>
        <w:rFonts w:ascii="Times New Roman" w:hAnsi="Times New Roman"/>
        <w:color w:val="808080"/>
      </w:rPr>
      <w:instrText xml:space="preserve"> PAGE </w:instrText>
    </w:r>
    <w:r w:rsidRPr="00844519">
      <w:rPr>
        <w:rFonts w:ascii="Times New Roman" w:hAnsi="Times New Roman"/>
        <w:color w:val="808080"/>
      </w:rPr>
      <w:fldChar w:fldCharType="separate"/>
    </w:r>
    <w:r>
      <w:rPr>
        <w:rFonts w:ascii="Times New Roman" w:hAnsi="Times New Roman"/>
        <w:noProof/>
        <w:color w:val="808080"/>
      </w:rPr>
      <w:t>3</w:t>
    </w:r>
    <w:r w:rsidRPr="00844519">
      <w:rPr>
        <w:rFonts w:ascii="Times New Roman" w:hAnsi="Times New Roman"/>
        <w:color w:val="808080"/>
      </w:rPr>
      <w:fldChar w:fldCharType="end"/>
    </w:r>
    <w:r w:rsidRPr="00844519">
      <w:rPr>
        <w:rFonts w:ascii="Times New Roman" w:hAnsi="Times New Roman"/>
        <w:color w:val="808080"/>
      </w:rPr>
      <w:t xml:space="preserve"> of </w:t>
    </w:r>
    <w:r w:rsidRPr="00844519">
      <w:rPr>
        <w:rFonts w:ascii="Times New Roman" w:hAnsi="Times New Roman"/>
        <w:color w:val="808080"/>
      </w:rPr>
      <w:fldChar w:fldCharType="begin"/>
    </w:r>
    <w:r w:rsidRPr="00844519">
      <w:rPr>
        <w:rFonts w:ascii="Times New Roman" w:hAnsi="Times New Roman"/>
        <w:color w:val="808080"/>
      </w:rPr>
      <w:instrText xml:space="preserve"> NUMPAGES </w:instrText>
    </w:r>
    <w:r w:rsidRPr="00844519">
      <w:rPr>
        <w:rFonts w:ascii="Times New Roman" w:hAnsi="Times New Roman"/>
        <w:color w:val="808080"/>
      </w:rPr>
      <w:fldChar w:fldCharType="separate"/>
    </w:r>
    <w:r>
      <w:rPr>
        <w:rFonts w:ascii="Times New Roman" w:hAnsi="Times New Roman"/>
        <w:noProof/>
        <w:color w:val="808080"/>
      </w:rPr>
      <w:t>3</w:t>
    </w:r>
    <w:r w:rsidRPr="00844519">
      <w:rPr>
        <w:rFonts w:ascii="Times New Roman" w:hAnsi="Times New Roman"/>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D1EA" w14:textId="77777777" w:rsidR="00DE4832" w:rsidRDefault="00DE4832">
      <w:pPr>
        <w:spacing w:after="0" w:line="240" w:lineRule="auto"/>
      </w:pPr>
      <w:r>
        <w:separator/>
      </w:r>
    </w:p>
  </w:footnote>
  <w:footnote w:type="continuationSeparator" w:id="0">
    <w:p w14:paraId="63C90F28" w14:textId="77777777" w:rsidR="00DE4832" w:rsidRDefault="00DE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20E4" w14:textId="4E3EAFCF" w:rsidR="00B74959" w:rsidRDefault="00B74959">
    <w:pPr>
      <w:pStyle w:val="Header"/>
    </w:pPr>
    <w:r>
      <w:rPr>
        <w:rFonts w:ascii="Times New Roman"/>
        <w:noProof/>
        <w:sz w:val="20"/>
        <w:lang w:eastAsia="en-GB"/>
      </w:rPr>
      <w:drawing>
        <wp:inline distT="0" distB="0" distL="0" distR="0" wp14:anchorId="2AA6BEA5" wp14:editId="59EC9AE7">
          <wp:extent cx="5486400" cy="1257300"/>
          <wp:effectExtent l="0" t="0" r="0" b="0"/>
          <wp:docPr id="70666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70629FEE" w14:textId="77777777" w:rsidR="00B74959" w:rsidRDefault="00B74959">
    <w:pPr>
      <w:pStyle w:val="Header"/>
    </w:pPr>
  </w:p>
  <w:p w14:paraId="6A260FBA" w14:textId="596018F5" w:rsidR="00B74959" w:rsidRPr="00B74959" w:rsidRDefault="009E1F67" w:rsidP="00B74959">
    <w:pPr>
      <w:tabs>
        <w:tab w:val="center" w:pos="4513"/>
        <w:tab w:val="right" w:pos="9026"/>
      </w:tabs>
      <w:spacing w:after="0" w:line="240" w:lineRule="auto"/>
      <w:rPr>
        <w:rFonts w:ascii="Calibri" w:eastAsia="Times New Roman" w:hAnsi="Calibri" w:cs="Times New Roman"/>
        <w:kern w:val="0"/>
        <w:sz w:val="24"/>
        <w:szCs w:val="24"/>
        <w:lang w:val="en-US"/>
        <w14:ligatures w14:val="none"/>
      </w:rPr>
    </w:pPr>
    <w:r>
      <w:rPr>
        <w:rFonts w:ascii="Calibri" w:eastAsia="Times New Roman" w:hAnsi="Calibri" w:cs="Times New Roman"/>
        <w:kern w:val="0"/>
        <w:sz w:val="24"/>
        <w:szCs w:val="24"/>
        <w:lang w:val="en-US"/>
        <w14:ligatures w14:val="none"/>
      </w:rPr>
      <w:t xml:space="preserve">RESOURCE </w:t>
    </w:r>
    <w:r w:rsidR="002E0FA9">
      <w:rPr>
        <w:rFonts w:ascii="Calibri" w:eastAsia="Times New Roman" w:hAnsi="Calibri" w:cs="Times New Roman"/>
        <w:kern w:val="0"/>
        <w:sz w:val="24"/>
        <w:szCs w:val="24"/>
        <w:lang w:val="en-US"/>
        <w14:ligatures w14:val="none"/>
      </w:rPr>
      <w:t>SHEET NUMBER 5</w:t>
    </w:r>
    <w:r>
      <w:rPr>
        <w:rFonts w:ascii="Calibri" w:eastAsia="Times New Roman" w:hAnsi="Calibri" w:cs="Times New Roman"/>
        <w:kern w:val="0"/>
        <w:sz w:val="24"/>
        <w:szCs w:val="24"/>
        <w:lang w:val="en-US"/>
        <w14:ligatures w14:val="none"/>
      </w:rPr>
      <w:t xml:space="preserve"> </w:t>
    </w:r>
    <w:r w:rsidR="00B74959" w:rsidRPr="00B74959">
      <w:rPr>
        <w:rFonts w:ascii="Calibri" w:eastAsia="Times New Roman" w:hAnsi="Calibri" w:cs="Times New Roman"/>
        <w:kern w:val="0"/>
        <w:sz w:val="24"/>
        <w:szCs w:val="24"/>
        <w:lang w:val="en-US"/>
        <w14:ligatures w14:val="none"/>
      </w:rPr>
      <w:t xml:space="preserve"> – </w:t>
    </w:r>
    <w:r w:rsidR="00B74959">
      <w:rPr>
        <w:rFonts w:ascii="Calibri" w:eastAsia="Times New Roman" w:hAnsi="Calibri" w:cs="Times New Roman"/>
        <w:kern w:val="0"/>
        <w:sz w:val="24"/>
        <w:szCs w:val="24"/>
        <w:lang w:val="en-US"/>
        <w14:ligatures w14:val="none"/>
      </w:rPr>
      <w:t>BULLET POINTS</w:t>
    </w:r>
    <w:r w:rsidR="00976C2E">
      <w:rPr>
        <w:rFonts w:ascii="Calibri" w:eastAsia="Times New Roman" w:hAnsi="Calibri" w:cs="Times New Roman"/>
        <w:kern w:val="0"/>
        <w:sz w:val="24"/>
        <w:szCs w:val="24"/>
        <w:lang w:val="en-US"/>
        <w14:ligatures w14:val="none"/>
      </w:rPr>
      <w:t xml:space="preserve"> and FAQs</w:t>
    </w:r>
  </w:p>
  <w:p w14:paraId="1ECBE043" w14:textId="77777777" w:rsidR="00B74959" w:rsidRDefault="00B7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EB62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C55471"/>
    <w:multiLevelType w:val="hybridMultilevel"/>
    <w:tmpl w:val="DF3C903A"/>
    <w:lvl w:ilvl="0" w:tplc="DE9243DE">
      <w:start w:val="1"/>
      <w:numFmt w:val="decimal"/>
      <w:lvlText w:val="%1."/>
      <w:lvlJc w:val="left"/>
      <w:pPr>
        <w:tabs>
          <w:tab w:val="num" w:pos="360"/>
        </w:tabs>
        <w:ind w:left="360" w:hanging="360"/>
      </w:pPr>
      <w:rPr>
        <w:rFonts w:cs="Times New Roman"/>
        <w:b w:val="0"/>
        <w:bCs w:val="0"/>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1433B62"/>
    <w:multiLevelType w:val="hybridMultilevel"/>
    <w:tmpl w:val="0AA80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7501120">
    <w:abstractNumId w:val="1"/>
  </w:num>
  <w:num w:numId="2" w16cid:durableId="35784335">
    <w:abstractNumId w:val="0"/>
  </w:num>
  <w:num w:numId="3" w16cid:durableId="1160461936">
    <w:abstractNumId w:val="1"/>
  </w:num>
  <w:num w:numId="4" w16cid:durableId="2037345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D3"/>
    <w:rsid w:val="00035520"/>
    <w:rsid w:val="00080C64"/>
    <w:rsid w:val="000D38E8"/>
    <w:rsid w:val="000E7A2D"/>
    <w:rsid w:val="0013362D"/>
    <w:rsid w:val="001540B4"/>
    <w:rsid w:val="001B189D"/>
    <w:rsid w:val="001D70A1"/>
    <w:rsid w:val="001E3B92"/>
    <w:rsid w:val="002E0FA9"/>
    <w:rsid w:val="00306FB0"/>
    <w:rsid w:val="003A78F7"/>
    <w:rsid w:val="003E25D4"/>
    <w:rsid w:val="004A515B"/>
    <w:rsid w:val="004E6F6E"/>
    <w:rsid w:val="004F5903"/>
    <w:rsid w:val="005419C8"/>
    <w:rsid w:val="00543298"/>
    <w:rsid w:val="005F1052"/>
    <w:rsid w:val="006678BD"/>
    <w:rsid w:val="00670C68"/>
    <w:rsid w:val="006E3B79"/>
    <w:rsid w:val="00705BAB"/>
    <w:rsid w:val="0072400B"/>
    <w:rsid w:val="007547F9"/>
    <w:rsid w:val="007A0C84"/>
    <w:rsid w:val="007A6C1F"/>
    <w:rsid w:val="007B5A0E"/>
    <w:rsid w:val="00802F61"/>
    <w:rsid w:val="0082715A"/>
    <w:rsid w:val="0087780B"/>
    <w:rsid w:val="008B69FE"/>
    <w:rsid w:val="008F2823"/>
    <w:rsid w:val="00944A9C"/>
    <w:rsid w:val="00967662"/>
    <w:rsid w:val="00976C2E"/>
    <w:rsid w:val="009B4D70"/>
    <w:rsid w:val="009E1F67"/>
    <w:rsid w:val="009F53DF"/>
    <w:rsid w:val="00A5762C"/>
    <w:rsid w:val="00A93E4F"/>
    <w:rsid w:val="00AA054A"/>
    <w:rsid w:val="00AA3FBA"/>
    <w:rsid w:val="00AE47A2"/>
    <w:rsid w:val="00B435F5"/>
    <w:rsid w:val="00B44BF9"/>
    <w:rsid w:val="00B553C1"/>
    <w:rsid w:val="00B74959"/>
    <w:rsid w:val="00B80197"/>
    <w:rsid w:val="00BA1139"/>
    <w:rsid w:val="00C00709"/>
    <w:rsid w:val="00C22746"/>
    <w:rsid w:val="00C27787"/>
    <w:rsid w:val="00C57140"/>
    <w:rsid w:val="00C95902"/>
    <w:rsid w:val="00C970D3"/>
    <w:rsid w:val="00CA2A4E"/>
    <w:rsid w:val="00CF0D30"/>
    <w:rsid w:val="00DB522F"/>
    <w:rsid w:val="00DC55A1"/>
    <w:rsid w:val="00DE4832"/>
    <w:rsid w:val="00E516DF"/>
    <w:rsid w:val="00E91EDF"/>
    <w:rsid w:val="00E9295F"/>
    <w:rsid w:val="00E942FF"/>
    <w:rsid w:val="00ED290F"/>
    <w:rsid w:val="00F145CD"/>
    <w:rsid w:val="00F32E9B"/>
    <w:rsid w:val="00F61593"/>
    <w:rsid w:val="00F63211"/>
    <w:rsid w:val="00F878FA"/>
    <w:rsid w:val="00FB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8B94"/>
  <w15:chartTrackingRefBased/>
  <w15:docId w15:val="{8472E0A1-DA95-4BF3-93B9-9971B173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762C"/>
    <w:pPr>
      <w:tabs>
        <w:tab w:val="center" w:pos="4513"/>
        <w:tab w:val="right" w:pos="9026"/>
      </w:tabs>
      <w:spacing w:after="0" w:line="240" w:lineRule="auto"/>
    </w:pPr>
    <w:rPr>
      <w:rFonts w:ascii="Calibri" w:eastAsia="Times New Roman" w:hAnsi="Calibri" w:cs="Times New Roman"/>
      <w:kern w:val="0"/>
      <w:sz w:val="24"/>
      <w:szCs w:val="24"/>
      <w:lang w:val="en-US"/>
      <w14:ligatures w14:val="none"/>
    </w:rPr>
  </w:style>
  <w:style w:type="character" w:customStyle="1" w:styleId="FooterChar">
    <w:name w:val="Footer Char"/>
    <w:basedOn w:val="DefaultParagraphFont"/>
    <w:link w:val="Footer"/>
    <w:rsid w:val="00A5762C"/>
    <w:rPr>
      <w:rFonts w:ascii="Calibri" w:eastAsia="Times New Roman" w:hAnsi="Calibri" w:cs="Times New Roman"/>
      <w:kern w:val="0"/>
      <w:sz w:val="24"/>
      <w:szCs w:val="24"/>
      <w:lang w:val="en-US"/>
      <w14:ligatures w14:val="none"/>
    </w:rPr>
  </w:style>
  <w:style w:type="paragraph" w:styleId="ListParagraph">
    <w:name w:val="List Paragraph"/>
    <w:basedOn w:val="Normal"/>
    <w:uiPriority w:val="34"/>
    <w:qFormat/>
    <w:rsid w:val="00306FB0"/>
    <w:pPr>
      <w:ind w:left="720"/>
      <w:contextualSpacing/>
    </w:pPr>
  </w:style>
  <w:style w:type="paragraph" w:styleId="Header">
    <w:name w:val="header"/>
    <w:basedOn w:val="Normal"/>
    <w:link w:val="HeaderChar"/>
    <w:uiPriority w:val="99"/>
    <w:unhideWhenUsed/>
    <w:rsid w:val="00B74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959"/>
  </w:style>
  <w:style w:type="paragraph" w:customStyle="1" w:styleId="Default">
    <w:name w:val="Default"/>
    <w:rsid w:val="00802F61"/>
    <w:pPr>
      <w:autoSpaceDE w:val="0"/>
      <w:autoSpaceDN w:val="0"/>
      <w:adjustRightInd w:val="0"/>
      <w:spacing w:after="0" w:line="240" w:lineRule="auto"/>
    </w:pPr>
    <w:rPr>
      <w:rFonts w:ascii="Arial" w:hAnsi="Arial" w:cs="Arial"/>
      <w:color w:val="000000"/>
      <w:kern w:val="0"/>
      <w:sz w:val="24"/>
      <w:szCs w:val="24"/>
    </w:rPr>
  </w:style>
  <w:style w:type="character" w:styleId="Strong">
    <w:name w:val="Strong"/>
    <w:basedOn w:val="DefaultParagraphFont"/>
    <w:uiPriority w:val="22"/>
    <w:qFormat/>
    <w:rsid w:val="004F5903"/>
    <w:rPr>
      <w:b/>
      <w:bCs/>
    </w:rPr>
  </w:style>
  <w:style w:type="character" w:styleId="Hyperlink">
    <w:name w:val="Hyperlink"/>
    <w:basedOn w:val="DefaultParagraphFont"/>
    <w:uiPriority w:val="99"/>
    <w:unhideWhenUsed/>
    <w:rsid w:val="00C22746"/>
    <w:rPr>
      <w:color w:val="0563C1" w:themeColor="hyperlink"/>
      <w:u w:val="single"/>
    </w:rPr>
  </w:style>
  <w:style w:type="character" w:styleId="UnresolvedMention">
    <w:name w:val="Unresolved Mention"/>
    <w:basedOn w:val="DefaultParagraphFont"/>
    <w:uiPriority w:val="99"/>
    <w:semiHidden/>
    <w:unhideWhenUsed/>
    <w:rsid w:val="00C22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0261192924124118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5a82e2ab40f0b6230269d373/Advice_Note_Rehoming_setting_fre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code-of-practice-for-the-housing-and-care-of-animals-bred-supplied-or-used-for-scientific-purposes" TargetMode="External"/><Relationship Id="rId4" Type="http://schemas.openxmlformats.org/officeDocument/2006/relationships/settings" Target="settings.xml"/><Relationship Id="rId9" Type="http://schemas.openxmlformats.org/officeDocument/2006/relationships/hyperlink" Target="https://www.gov.uk/guidance/guidance-on-the-operation-of-the-animals-scientific-procedures-act-198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9543-7811-417B-947E-39AF9E74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4</cp:revision>
  <dcterms:created xsi:type="dcterms:W3CDTF">2025-11-10T01:34:00Z</dcterms:created>
  <dcterms:modified xsi:type="dcterms:W3CDTF">2025-11-15T22:31:00Z</dcterms:modified>
</cp:coreProperties>
</file>